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6009F" w14:textId="77777777" w:rsidR="000F45D5" w:rsidRDefault="00000000">
      <w:pPr>
        <w:pStyle w:val="Titolo2"/>
        <w:jc w:val="center"/>
      </w:pPr>
      <w:r>
        <w:rPr>
          <w:rStyle w:val="Carpredefinitoparagrafo"/>
          <w:b/>
          <w:bCs/>
        </w:rPr>
        <w:t>Giornata Mondiale di Preghiera</w:t>
      </w:r>
      <w:r>
        <w:br/>
        <w:t>“Unite nella preghiera per la giustizia e la pace”</w:t>
      </w:r>
      <w:r>
        <w:br/>
        <w:t>1 Samuele 2:1-10 e Luca 1:39-55</w:t>
      </w:r>
      <w:r>
        <w:br/>
        <w:t>Preparato dal Comitato Internazionale</w:t>
      </w:r>
      <w:r>
        <w:br/>
        <w:t>5 marzo 2027</w:t>
      </w:r>
    </w:p>
    <w:p w14:paraId="6A12CB58" w14:textId="77777777" w:rsidR="000F45D5" w:rsidRDefault="000F45D5">
      <w:pPr>
        <w:jc w:val="both"/>
      </w:pPr>
    </w:p>
    <w:p w14:paraId="6E0FEB46" w14:textId="77777777" w:rsidR="000F45D5" w:rsidRDefault="00000000">
      <w:pPr>
        <w:pStyle w:val="Sottotitolo"/>
        <w:jc w:val="center"/>
      </w:pPr>
      <w:r>
        <w:t>Raccontiamo la nostra storia.</w:t>
      </w:r>
    </w:p>
    <w:p w14:paraId="73C1C361" w14:textId="77777777" w:rsidR="000F45D5" w:rsidRDefault="00000000">
      <w:pPr>
        <w:shd w:val="clear" w:color="auto" w:fill="FFFFFF"/>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Attraverso le nostre preghiere unite, abbiamo reso visibile il desiderio di Dio per la giustizia e la pace in ogni angolo della terra. Il nostro secolo di preghiera consapevole e azione ispirata dalla preghiera ci ha portato a partecipare all’opera trasformante di Dio. Celebriamo l’incontro gioioso delle donne attraverso le generazioni — da Anna e Maria alle donne che nel 1887 hanno dato inizio a una giornata di preghiera per il mondo, a quelle che nel 1927 hanno istituito la Giornata Mondiale di Preghiera, fino alla nostra sorellanza globale di oggi.</w:t>
      </w:r>
    </w:p>
    <w:p w14:paraId="6B715041" w14:textId="77777777" w:rsidR="000F45D5" w:rsidRDefault="00000000">
      <w:pPr>
        <w:shd w:val="clear" w:color="auto" w:fill="FFFFFF"/>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Il centenario del 2027 non segna il nostro inizio, ma una tappa significativa in un flusso molto più ampio di testimonianza fedele che attraversa la storia. Le nostre preghiere si uniscono a questo coro senza tempo che supera ogni confine, cantando di un Dio che trasforma il mondo. Quando ci riuniamo, sperimentiamo la gioia di Elisabetta e Maria — il riconoscimento che qualcosa di nuovo sta crescendo nel nostro movimento, portando vita e speranza.</w:t>
      </w:r>
    </w:p>
    <w:p w14:paraId="7520BCBB" w14:textId="77777777" w:rsidR="000F45D5" w:rsidRDefault="00000000">
      <w:pPr>
        <w:shd w:val="clear" w:color="auto" w:fill="FFFFFF"/>
        <w:spacing w:after="12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Per 100 anni, il nostro movimento ha rifiutato di essere messo a tacere o scoraggiato, anche durante le guerre mondiali e nei tempi di profondi conflitti. Unendoci al canto per i prossimi cento anni, rinnoviamo il nostro impegno a creare spazi in cui la giustizia possa fiorire e la pace mettere radici.</w:t>
      </w:r>
    </w:p>
    <w:p w14:paraId="03F53A2A" w14:textId="77777777" w:rsidR="000F45D5" w:rsidRDefault="000F45D5">
      <w:pPr>
        <w:shd w:val="clear" w:color="auto" w:fill="FFFFFF"/>
        <w:spacing w:after="120" w:line="240" w:lineRule="auto"/>
        <w:jc w:val="both"/>
        <w:rPr>
          <w:rFonts w:ascii="Times New Roman" w:eastAsia="Times New Roman" w:hAnsi="Times New Roman" w:cs="Times New Roman"/>
          <w:color w:val="000000"/>
        </w:rPr>
      </w:pPr>
    </w:p>
    <w:p w14:paraId="71C503D8" w14:textId="77777777" w:rsidR="000F45D5" w:rsidRDefault="00000000">
      <w:pPr>
        <w:pStyle w:val="Titolo3"/>
        <w:jc w:val="center"/>
      </w:pPr>
      <w:r>
        <w:t>LE ORIGINI</w:t>
      </w:r>
    </w:p>
    <w:p w14:paraId="2E316437" w14:textId="77777777" w:rsidR="000F45D5" w:rsidRDefault="000F45D5">
      <w:pPr>
        <w:shd w:val="clear" w:color="auto" w:fill="FFFFFF"/>
        <w:spacing w:after="120" w:line="240" w:lineRule="auto"/>
        <w:jc w:val="both"/>
        <w:rPr>
          <w:rFonts w:ascii="Times New Roman" w:eastAsia="Times New Roman" w:hAnsi="Times New Roman" w:cs="Times New Roman"/>
          <w:color w:val="000000"/>
        </w:rPr>
      </w:pPr>
    </w:p>
    <w:p w14:paraId="37DE5771" w14:textId="77777777" w:rsidR="000F45D5" w:rsidRDefault="00000000">
      <w:pPr>
        <w:pStyle w:val="Titolo3"/>
        <w:rPr>
          <w:b/>
          <w:bCs/>
        </w:rPr>
      </w:pPr>
      <w:r>
        <w:rPr>
          <w:b/>
          <w:bCs/>
        </w:rPr>
        <w:t>Radici nella preghiera e nella missione</w:t>
      </w:r>
    </w:p>
    <w:p w14:paraId="67CD4C23"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 terreno da cui è nata la Giornata Mondiale di Preghiera è stato il movimento missionario mondiale. Le donne ne fecero inizialmente parte come mogli che accompagnavano i loro mariti missionari in terre straniere. Le condizioni in questi paesi venivano raccontate a casa tramite lettere. La preghiera, individuale e comunitaria, divenne un modo per superare il senso di distanza e per rivolgersi a Dio in cerca di aiuto. Allo stesso tempo, questi resoconti rivelavano le difficili condizioni in cui vivevano donne e bambini. Con il peso delle responsabilità familiari, le mogli dei missionari non erano in grado di dedicarsi all’educazione dei bambini e al sostegno delle donne. Servivano quindi donne non sposate che potessero assumersi questi compiti.</w:t>
      </w:r>
    </w:p>
    <w:p w14:paraId="49EEBC7F"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 partire dal 1860, negli Stati Uniti e in Canada furono fondate società missionarie femminili denominali con lo scopo di trovare, formare e sostenere economicamente donne missionarie non sposate. Queste società istituirono giornate annuali di preghiera per unire le donne nel lavoro sia in patria che all’estero. Giornate simili furono create per le missioni interne, rivolte a immigrati, minoranze e lavoratori migranti nel Nord America. Le offerte raccolte durante queste giornate divennero una fonte importante di finanziamento. Attraverso queste iniziative, le donne svilupparono progetti comuni e sperimentarono sempre più i benefici e la gioia del lavorare insieme.</w:t>
      </w:r>
    </w:p>
    <w:p w14:paraId="66C22F8C"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42A6FEC7" w14:textId="77777777" w:rsidR="000F45D5" w:rsidRDefault="00000000">
      <w:pPr>
        <w:pStyle w:val="Titolo3"/>
        <w:rPr>
          <w:b/>
          <w:bCs/>
        </w:rPr>
      </w:pPr>
      <w:r>
        <w:rPr>
          <w:b/>
          <w:bCs/>
        </w:rPr>
        <w:lastRenderedPageBreak/>
        <w:t>Costruzione dei collegamenti internazionali</w:t>
      </w:r>
    </w:p>
    <w:p w14:paraId="1B88E7DF"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Collaborare significava anche crescere a livello internazionale. Durante una conferenza missionaria internazionale a Londra nel 1888, alle donne fu permesso partecipare e alcune di loro parlarono delle proprie esperienze. Le partecipanti, provenienti da tutti i continenti, decisero di incontrarsi e compresero quanto fosse importante imparare le une dalle altre. Nacque così il “Comitato Missionario Mondiale delle Donne Cristiane” e Abbie Child di Boston fu eletta presidente. Si impegnarono a dedicare un’ora settimanale comune alla preghiera reciproca, a contribuire a uno scambio annuale di informazioni scritte e a pianificare la tutela legale delle vedove in India.</w:t>
      </w:r>
    </w:p>
    <w:p w14:paraId="6E3405BD"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Dodici anni dopo, nel 1900, durante la Conferenza Missionaria Ecumenica di New York, il comitato si riunì nuovamente di persona. Le donne conclusero che avevano bisogno di conoscenza. Il bisogno più urgente era materiale scritto affidabile sulle missioni. Fondarono quindi il “Comitato Centrale per lo Studio Unificato delle Missioni Estere”, con l’obiettivo di pubblicare ogni anno un libro di studio su temi missionari.</w:t>
      </w:r>
    </w:p>
    <w:p w14:paraId="5CCD188C"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43339A7C" w14:textId="77777777" w:rsidR="000F45D5" w:rsidRDefault="00000000">
      <w:pPr>
        <w:pStyle w:val="Titolo3"/>
        <w:rPr>
          <w:b/>
          <w:bCs/>
        </w:rPr>
      </w:pPr>
      <w:r>
        <w:rPr>
          <w:b/>
          <w:bCs/>
        </w:rPr>
        <w:t>Il potere dell’educazione</w:t>
      </w:r>
    </w:p>
    <w:p w14:paraId="2DBA68E8"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 Comitato Centrale iniziò subito il suo lavoro. Il primo volume, una storia delle missioni estere dai tempi apostolici al presente, fu pubblicato già nel 1901 e vendette oltre 50.000 copie in un anno. Nei sette anni successivi furono pianificati studi su India, Cina, Giappone, Africa, isole del Pacifico e sul rapporto tra missione e progresso sociale. Entro il 1927 erano stati venduti oltre 4 milioni di libri.</w:t>
      </w:r>
    </w:p>
    <w:p w14:paraId="6357484C"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Un altro sviluppo sorprendente fu che molte donne studiarono questi testi riunendosi in gruppi interconfessionali. Donne che imparavano insieme oltre le barriere confessionali: una vera rivoluzione. La maggior parte si incontrava localmente durante l’inverno. Dal 1903 iniziarono anche conferenze estive di una settimana guidate dagli autori dei libri e da missionari rientrati. Questo progetto educativo fu unico e pose le basi per forti gruppi locali interconfessionali e consigli ecumenici.</w:t>
      </w:r>
    </w:p>
    <w:p w14:paraId="267D7868"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3680FDBB" w14:textId="77777777" w:rsidR="000F45D5" w:rsidRDefault="00000000">
      <w:pPr>
        <w:pStyle w:val="Titolo3"/>
        <w:rPr>
          <w:b/>
          <w:bCs/>
        </w:rPr>
      </w:pPr>
      <w:r>
        <w:rPr>
          <w:b/>
          <w:bCs/>
        </w:rPr>
        <w:t>Le donne missionarie celebrano il loro giubileo</w:t>
      </w:r>
    </w:p>
    <w:p w14:paraId="0D92C182"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 momento più significativo di questi anni fu il 50° anniversario delle società missionarie femminili, che coinvolse centinaia di migliaia di donne. L’idea di una celebrazione su larga scala venne da Lucy Waterbury Peabody. Per l’occasione, Helen Barrett Montgomery scrisse “Western Women in Eastern Lands”, una storia del movimento missionario femminile, che vendette 50.000 copie in sei settimane.</w:t>
      </w:r>
    </w:p>
    <w:p w14:paraId="52165225"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Nonostante il poco tempo per la preparazione, dopo la Conferenza Missionaria di Edimburgo del 1910 si svolsero numerosi grandi eventi. Entro la primavera del 1911 un’ondata di entusiasmo attraversò gli Stati Uniti. Oltre 70 eventi di due giorni e molti di un giorno coinvolsero migliaia di donne. Squadre ecumeniche fino a 400 donne gestirono organizzazione e comunicazione. L’esperienza acquisita ebbe un impatto duraturo.</w:t>
      </w:r>
    </w:p>
    <w:p w14:paraId="3D5A3EF1"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Due commenti maschili riassumono bene la situazione:</w:t>
      </w:r>
      <w:r>
        <w:rPr>
          <w:rFonts w:ascii="Times New Roman" w:eastAsia="Times New Roman" w:hAnsi="Times New Roman" w:cs="Times New Roman"/>
          <w:color w:val="000000"/>
        </w:rPr>
        <w:br/>
        <w:t>“Le donne si esprimevano con sicurezza e riempivano le sale più grandi… Il tempo in cui non potevano essere ascoltate sembra finito” e</w:t>
      </w:r>
      <w:r>
        <w:rPr>
          <w:rFonts w:ascii="Times New Roman" w:eastAsia="Times New Roman" w:hAnsi="Times New Roman" w:cs="Times New Roman"/>
          <w:color w:val="000000"/>
        </w:rPr>
        <w:br/>
        <w:t>“Che rivoluzione! Pacifica, spirituale e sociale! L’intera nazione è ai piedi di queste donne.”</w:t>
      </w:r>
    </w:p>
    <w:p w14:paraId="4A2D73CC"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Tra il 1861, quando fu fondata la prima Board femminile, e il 1911, anno del 50° anniversario, le donne raccolsero la somma quasi incredibile di 41 milioni di dollari (oggi oltre 970 milioni).</w:t>
      </w:r>
    </w:p>
    <w:p w14:paraId="4CC0478E"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0785E263" w14:textId="77777777" w:rsidR="000F45D5" w:rsidRDefault="00000000">
      <w:pPr>
        <w:pStyle w:val="Titolo3"/>
        <w:rPr>
          <w:b/>
          <w:bCs/>
        </w:rPr>
      </w:pPr>
      <w:r>
        <w:rPr>
          <w:b/>
          <w:bCs/>
        </w:rPr>
        <w:lastRenderedPageBreak/>
        <w:t>La Prima Guerra Mondiale e l’appello alla pace</w:t>
      </w:r>
    </w:p>
    <w:p w14:paraId="364AB49A"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Le esperienze di collaborazione furono profondamente scosse con lo scoppio della Prima Guerra Mondiale nel 1914 e l’ingresso degli Stati Uniti nel 1917.</w:t>
      </w:r>
    </w:p>
    <w:p w14:paraId="6AFF3A1B"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Il libro di studio del 1916, “World Mission and World Peace”, evidenziò la drammatica realtà di nazioni cristiane in guerra tra loro. La missione assunse una doppia sfida: lavorare per la pace e per la missione contemporaneamente. Per le donne, significava collaborare ovunque possibile.</w:t>
      </w:r>
    </w:p>
    <w:p w14:paraId="5C65068F"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2AB97364" w14:textId="77777777" w:rsidR="000F45D5" w:rsidRDefault="00000000">
      <w:pPr>
        <w:pStyle w:val="Titolo3"/>
        <w:jc w:val="center"/>
        <w:rPr>
          <w:b/>
          <w:bCs/>
        </w:rPr>
      </w:pPr>
      <w:r>
        <w:rPr>
          <w:b/>
          <w:bCs/>
        </w:rPr>
        <w:t>Nasce il Giorno Unito di Preghiera</w:t>
      </w:r>
    </w:p>
    <w:p w14:paraId="278C9C32"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Dopo la guerra, queste esperienze si unirono con nuova forza. La Federazione delle Donne per le Missioni Estere e il Consiglio delle Donne per le Missioni Interne promossero un giorno unito di preghiera negli Stati Uniti, celebrato ecumenicamente nelle chiese. Iniziò nel 1920, il primo venerdì di Quaresima.</w:t>
      </w:r>
    </w:p>
    <w:p w14:paraId="5850EDF9"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 risposta fu enorme e la partecipazione crebbe ogni anno. Le donne canadesi adottarono la stessa data nel 1922 e lo stesso programma nel 1925.</w:t>
      </w:r>
    </w:p>
    <w:p w14:paraId="33C6520F" w14:textId="77777777" w:rsidR="000F45D5" w:rsidRDefault="00000000">
      <w:r>
        <w:t>La Federazione e il Consiglio si divisero i compiti organizzativi: il Consiglio stampava e distribuiva i programmi, mentre un comitato della Federazione preparava il programma annuale. Nel 1927 il tema fu “Pregate dunque”, preparato dalla presidente Mary Hough.</w:t>
      </w:r>
    </w:p>
    <w:p w14:paraId="5A46D2CE" w14:textId="77777777" w:rsidR="000F45D5" w:rsidRDefault="00000000">
      <w:pPr>
        <w:pStyle w:val="Titolo3"/>
      </w:pPr>
      <w:r>
        <w:rPr>
          <w:rStyle w:val="Carpredefinitoparagrafo"/>
          <w:b/>
          <w:bCs/>
        </w:rPr>
        <w:t>Il cerchio di preghiera abbraccia il mondo (1927)</w:t>
      </w:r>
      <w:r>
        <w:rPr>
          <w:rStyle w:val="Carpredefinitoparagrafo"/>
          <w:rFonts w:ascii="Times New Roman" w:eastAsia="Times New Roman" w:hAnsi="Times New Roman" w:cs="Times New Roman"/>
          <w:color w:val="000000"/>
          <w:sz w:val="24"/>
          <w:szCs w:val="24"/>
        </w:rPr>
        <w:br/>
        <w:t xml:space="preserve">1927 – </w:t>
      </w:r>
      <w:r>
        <w:rPr>
          <w:rStyle w:val="Carpredefinitoparagrafo"/>
          <w:rFonts w:ascii="Times New Roman" w:eastAsia="Times New Roman" w:hAnsi="Times New Roman" w:cs="Times New Roman"/>
          <w:i/>
          <w:iCs/>
          <w:color w:val="000000"/>
          <w:sz w:val="24"/>
          <w:szCs w:val="24"/>
        </w:rPr>
        <w:t>Pregate dunque</w:t>
      </w:r>
      <w:r>
        <w:rPr>
          <w:rStyle w:val="Carpredefinitoparagrafo"/>
          <w:rFonts w:ascii="Times New Roman" w:eastAsia="Times New Roman" w:hAnsi="Times New Roman" w:cs="Times New Roman"/>
          <w:color w:val="000000"/>
          <w:sz w:val="24"/>
          <w:szCs w:val="24"/>
        </w:rPr>
        <w:t>; Autrice: Mary Hough, USA</w:t>
      </w:r>
    </w:p>
    <w:p w14:paraId="6A11FC01"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Un piccolo comitato di sei donne della Federazione delle Donne per le Missioni Estere e del Consiglio delle Donne per le Missioni Interne ebbe l’idea di inviare il programma del 1927 a tutti i contatti missionari nel mondo. La risposta fu immediata e forte, anche grazie al libro di studio del 1927, pubblicato nel 1926. Questo libro descriveva le terribili condizioni in cui vivevano i bambini nel mondo, inclusi immigrati e minoranze negli Stati Uniti.</w:t>
      </w:r>
    </w:p>
    <w:p w14:paraId="4EFDA407" w14:textId="77777777" w:rsidR="000F45D5" w:rsidRDefault="00000000">
      <w:pPr>
        <w:shd w:val="clear" w:color="auto" w:fill="FFFFFF"/>
        <w:spacing w:after="120" w:line="240" w:lineRule="auto"/>
      </w:pPr>
      <w:r>
        <w:rPr>
          <w:rStyle w:val="Carpredefinitoparagrafo"/>
          <w:rFonts w:ascii="Times New Roman" w:eastAsia="Times New Roman" w:hAnsi="Times New Roman" w:cs="Times New Roman"/>
          <w:color w:val="000000"/>
        </w:rPr>
        <w:t xml:space="preserve">L’invito raggiunse donne leader in Cina, Giappone e America Latina. In soli quattro mesi arrivarono risposte da tutto il mondo e il programma finale poté riportare: </w:t>
      </w:r>
      <w:r>
        <w:rPr>
          <w:rStyle w:val="Carpredefinitoparagrafo"/>
          <w:rFonts w:ascii="Times New Roman" w:eastAsia="Times New Roman" w:hAnsi="Times New Roman" w:cs="Times New Roman"/>
          <w:b/>
          <w:bCs/>
          <w:color w:val="000000"/>
        </w:rPr>
        <w:t>“Giornata Mondiale di Preghiera per le Missioni”</w:t>
      </w:r>
      <w:r>
        <w:rPr>
          <w:rStyle w:val="Carpredefinitoparagrafo"/>
          <w:rFonts w:ascii="Times New Roman" w:eastAsia="Times New Roman" w:hAnsi="Times New Roman" w:cs="Times New Roman"/>
          <w:color w:val="000000"/>
        </w:rPr>
        <w:t>.</w:t>
      </w:r>
    </w:p>
    <w:p w14:paraId="738A8F6F" w14:textId="77777777" w:rsidR="000F45D5" w:rsidRDefault="00000000">
      <w:pPr>
        <w:shd w:val="clear" w:color="auto" w:fill="FFFFFF"/>
        <w:spacing w:after="120" w:line="240" w:lineRule="auto"/>
      </w:pPr>
      <w:r>
        <w:rPr>
          <w:rStyle w:val="Carpredefinitoparagrafo"/>
          <w:rFonts w:ascii="Times New Roman" w:eastAsia="Times New Roman" w:hAnsi="Times New Roman" w:cs="Times New Roman"/>
          <w:color w:val="000000"/>
        </w:rPr>
        <w:t>La risposta fu enorme e inaspettata: arrivarono testimonianze inattese da India, Birmania, Cina, Corea, Giappone, Sud America, Africa, Siria, Europa, Caraibi, Canada e Stati Uniti. Come disse Mary Hough:</w:t>
      </w:r>
      <w:r>
        <w:rPr>
          <w:rStyle w:val="Carpredefinitoparagrafo"/>
          <w:rFonts w:ascii="Times New Roman" w:eastAsia="Times New Roman" w:hAnsi="Times New Roman" w:cs="Times New Roman"/>
          <w:color w:val="000000"/>
        </w:rPr>
        <w:br/>
      </w:r>
      <w:r>
        <w:rPr>
          <w:rStyle w:val="Carpredefinitoparagrafo"/>
          <w:rFonts w:ascii="Times New Roman" w:eastAsia="Times New Roman" w:hAnsi="Times New Roman" w:cs="Times New Roman"/>
          <w:i/>
          <w:iCs/>
          <w:color w:val="000000"/>
        </w:rPr>
        <w:t>"Abbiamo fatto la grande esperienza di pregare insieme e di liberare le energie necessarie per affrontare i nostri grandi compiti."</w:t>
      </w:r>
    </w:p>
    <w:p w14:paraId="25AD8EEF"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Per decenni le donne avevano pregato insieme, studiato insieme e agito insieme. Avevano costruito reti di sostegno oltre le denominazioni e oltre gli oceani. Avevano scoperto il potere dell’educazione e la forza dell’unità.</w:t>
      </w:r>
    </w:p>
    <w:p w14:paraId="0E51392C"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Ora, nel 1927, questi molti flussi confluirono in un fiume mondiale di preghiera. La Giornata Mondiale di Preghiera nacque.</w:t>
      </w:r>
    </w:p>
    <w:p w14:paraId="5D0B185C"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0DB2774A" w14:textId="77777777" w:rsidR="000F45D5" w:rsidRDefault="00000000">
      <w:pPr>
        <w:pStyle w:val="Titolo3"/>
      </w:pPr>
      <w:r>
        <w:rPr>
          <w:rStyle w:val="Carpredefinitoparagrafo"/>
          <w:b/>
          <w:bCs/>
        </w:rPr>
        <w:t>Un nuovo nome e una visione globale (1928-1929)</w:t>
      </w:r>
      <w:r>
        <w:rPr>
          <w:rStyle w:val="Carpredefinitoparagrafo"/>
          <w:rFonts w:ascii="Times New Roman" w:eastAsia="Times New Roman" w:hAnsi="Times New Roman" w:cs="Times New Roman"/>
          <w:color w:val="000000"/>
          <w:sz w:val="24"/>
          <w:szCs w:val="24"/>
        </w:rPr>
        <w:br/>
        <w:t xml:space="preserve">1928 – </w:t>
      </w:r>
      <w:r>
        <w:rPr>
          <w:rStyle w:val="Carpredefinitoparagrafo"/>
          <w:rFonts w:ascii="Times New Roman" w:eastAsia="Times New Roman" w:hAnsi="Times New Roman" w:cs="Times New Roman"/>
          <w:i/>
          <w:iCs/>
          <w:color w:val="000000"/>
          <w:sz w:val="24"/>
          <w:szCs w:val="24"/>
        </w:rPr>
        <w:t>Abbattere le barriere</w:t>
      </w:r>
      <w:r>
        <w:rPr>
          <w:rStyle w:val="Carpredefinitoparagrafo"/>
          <w:rFonts w:ascii="Times New Roman" w:eastAsia="Times New Roman" w:hAnsi="Times New Roman" w:cs="Times New Roman"/>
          <w:color w:val="000000"/>
          <w:sz w:val="24"/>
          <w:szCs w:val="24"/>
        </w:rPr>
        <w:t>; autrice: Mrs. M. H. Lichliter, USA</w:t>
      </w:r>
      <w:r>
        <w:rPr>
          <w:rStyle w:val="Carpredefinitoparagrafo"/>
          <w:rFonts w:ascii="Times New Roman" w:eastAsia="Times New Roman" w:hAnsi="Times New Roman" w:cs="Times New Roman"/>
          <w:color w:val="000000"/>
          <w:sz w:val="24"/>
          <w:szCs w:val="24"/>
        </w:rPr>
        <w:br/>
        <w:t xml:space="preserve">1929 – </w:t>
      </w:r>
      <w:r>
        <w:rPr>
          <w:rStyle w:val="Carpredefinitoparagrafo"/>
          <w:rFonts w:ascii="Times New Roman" w:eastAsia="Times New Roman" w:hAnsi="Times New Roman" w:cs="Times New Roman"/>
          <w:i/>
          <w:iCs/>
          <w:color w:val="000000"/>
          <w:sz w:val="24"/>
          <w:szCs w:val="24"/>
        </w:rPr>
        <w:t>Che siano tutti uno</w:t>
      </w:r>
      <w:r>
        <w:rPr>
          <w:rStyle w:val="Carpredefinitoparagrafo"/>
          <w:rFonts w:ascii="Times New Roman" w:eastAsia="Times New Roman" w:hAnsi="Times New Roman" w:cs="Times New Roman"/>
          <w:color w:val="000000"/>
          <w:sz w:val="24"/>
          <w:szCs w:val="24"/>
        </w:rPr>
        <w:t>; autrice: Florence G. Tyler, USA</w:t>
      </w:r>
    </w:p>
    <w:p w14:paraId="1296FAA6" w14:textId="77777777" w:rsidR="000F45D5" w:rsidRDefault="00000000">
      <w:pPr>
        <w:pStyle w:val="Textbody"/>
        <w:rPr>
          <w:rFonts w:eastAsia="Times New Roman" w:cs="Times New Roman"/>
          <w:color w:val="000000"/>
        </w:rPr>
      </w:pPr>
      <w:r>
        <w:rPr>
          <w:rFonts w:eastAsia="Times New Roman" w:cs="Times New Roman"/>
          <w:color w:val="000000"/>
        </w:rPr>
        <w:t xml:space="preserve">Il servizio degli anni '28 e '29 caratterizzò il movimento nell'apertura che supera le barriere di denominazione, razza, nazionalità, lingua e istruzione- in questo contesto si decise anche che il </w:t>
      </w:r>
      <w:r>
        <w:rPr>
          <w:rFonts w:eastAsia="Times New Roman" w:cs="Times New Roman"/>
          <w:color w:val="000000"/>
        </w:rPr>
        <w:lastRenderedPageBreak/>
        <w:t>nome sarebbe stato da lì in avanti semplicemente:” Giornata Mondiale di Preghiera”.</w:t>
      </w:r>
    </w:p>
    <w:p w14:paraId="451A5E96" w14:textId="77777777" w:rsidR="000F45D5" w:rsidRDefault="000F45D5">
      <w:pPr>
        <w:shd w:val="clear" w:color="auto" w:fill="FFFFFF"/>
        <w:spacing w:after="120" w:line="240" w:lineRule="auto"/>
        <w:rPr>
          <w:rFonts w:ascii="Times New Roman" w:eastAsia="Times New Roman" w:hAnsi="Times New Roman" w:cs="Times New Roman"/>
          <w:color w:val="000000"/>
        </w:rPr>
      </w:pPr>
    </w:p>
    <w:p w14:paraId="1FAB87BF" w14:textId="77777777" w:rsidR="000F45D5" w:rsidRDefault="00000000">
      <w:pPr>
        <w:pStyle w:val="Titolo3"/>
        <w:rPr>
          <w:b/>
          <w:bCs/>
        </w:rPr>
      </w:pPr>
      <w:r>
        <w:rPr>
          <w:b/>
          <w:bCs/>
        </w:rPr>
        <w:t>Si richiedono scrittrici da tutto il mondo (1930-1937)</w:t>
      </w:r>
    </w:p>
    <w:p w14:paraId="12836968" w14:textId="77777777" w:rsidR="000F45D5" w:rsidRDefault="00000000">
      <w:pPr>
        <w:shd w:val="clear" w:color="auto" w:fill="FFFFFF"/>
        <w:spacing w:after="12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Temi e autrici</w:t>
      </w:r>
    </w:p>
    <w:p w14:paraId="566F650A" w14:textId="77777777" w:rsidR="000F45D5" w:rsidRDefault="00000000">
      <w:pPr>
        <w:shd w:val="clear" w:color="auto" w:fill="FFFFFF"/>
        <w:spacing w:after="120" w:line="240" w:lineRule="auto"/>
      </w:pPr>
      <w:r>
        <w:rPr>
          <w:rStyle w:val="Carpredefinitoparagrafo"/>
          <w:rFonts w:ascii="Times New Roman" w:eastAsia="Times New Roman" w:hAnsi="Times New Roman" w:cs="Times New Roman"/>
          <w:color w:val="000000"/>
        </w:rPr>
        <w:t xml:space="preserve">1930 – </w:t>
      </w:r>
      <w:r>
        <w:rPr>
          <w:rStyle w:val="Carpredefinitoparagrafo"/>
          <w:rFonts w:ascii="Times New Roman" w:eastAsia="Times New Roman" w:hAnsi="Times New Roman" w:cs="Times New Roman"/>
          <w:i/>
          <w:iCs/>
          <w:color w:val="000000"/>
        </w:rPr>
        <w:t>Affinché Gesù sia innalzato</w:t>
      </w:r>
      <w:r>
        <w:rPr>
          <w:rStyle w:val="Carpredefinitoparagrafo"/>
          <w:rFonts w:ascii="Times New Roman" w:eastAsia="Times New Roman" w:hAnsi="Times New Roman" w:cs="Times New Roman"/>
          <w:color w:val="000000"/>
        </w:rPr>
        <w:t>; Helen Kim, Corea</w:t>
      </w:r>
      <w:r>
        <w:rPr>
          <w:rStyle w:val="Carpredefinitoparagrafo"/>
          <w:rFonts w:ascii="Times New Roman" w:eastAsia="Times New Roman" w:hAnsi="Times New Roman" w:cs="Times New Roman"/>
          <w:color w:val="000000"/>
        </w:rPr>
        <w:br/>
        <w:t xml:space="preserve">1931 – </w:t>
      </w:r>
      <w:r>
        <w:rPr>
          <w:rStyle w:val="Carpredefinitoparagrafo"/>
          <w:rFonts w:ascii="Times New Roman" w:eastAsia="Times New Roman" w:hAnsi="Times New Roman" w:cs="Times New Roman"/>
          <w:i/>
          <w:iCs/>
          <w:color w:val="000000"/>
        </w:rPr>
        <w:t>Voi sarete miei testimoni</w:t>
      </w:r>
      <w:r>
        <w:rPr>
          <w:rStyle w:val="Carpredefinitoparagrafo"/>
          <w:rFonts w:ascii="Times New Roman" w:eastAsia="Times New Roman" w:hAnsi="Times New Roman" w:cs="Times New Roman"/>
          <w:color w:val="000000"/>
        </w:rPr>
        <w:t>; K. W. McArthur, Canada</w:t>
      </w:r>
      <w:r>
        <w:rPr>
          <w:rStyle w:val="Carpredefinitoparagrafo"/>
          <w:rFonts w:ascii="Times New Roman" w:eastAsia="Times New Roman" w:hAnsi="Times New Roman" w:cs="Times New Roman"/>
          <w:color w:val="000000"/>
        </w:rPr>
        <w:br/>
        <w:t xml:space="preserve">1932 – </w:t>
      </w:r>
      <w:r>
        <w:rPr>
          <w:rStyle w:val="Carpredefinitoparagrafo"/>
          <w:rFonts w:ascii="Times New Roman" w:eastAsia="Times New Roman" w:hAnsi="Times New Roman" w:cs="Times New Roman"/>
          <w:i/>
          <w:iCs/>
          <w:color w:val="000000"/>
        </w:rPr>
        <w:t>Rimanete saldi nella preghiera</w:t>
      </w:r>
      <w:r>
        <w:rPr>
          <w:rStyle w:val="Carpredefinitoparagrafo"/>
          <w:rFonts w:ascii="Times New Roman" w:eastAsia="Times New Roman" w:hAnsi="Times New Roman" w:cs="Times New Roman"/>
          <w:color w:val="000000"/>
        </w:rPr>
        <w:t>; Helen Tupper, India</w:t>
      </w:r>
      <w:r>
        <w:rPr>
          <w:rStyle w:val="Carpredefinitoparagrafo"/>
          <w:rFonts w:ascii="Times New Roman" w:eastAsia="Times New Roman" w:hAnsi="Times New Roman" w:cs="Times New Roman"/>
          <w:color w:val="000000"/>
        </w:rPr>
        <w:br/>
        <w:t xml:space="preserve">1933 – </w:t>
      </w:r>
      <w:r>
        <w:rPr>
          <w:rStyle w:val="Carpredefinitoparagrafo"/>
          <w:rFonts w:ascii="Times New Roman" w:eastAsia="Times New Roman" w:hAnsi="Times New Roman" w:cs="Times New Roman"/>
          <w:i/>
          <w:iCs/>
          <w:color w:val="000000"/>
        </w:rPr>
        <w:t>Seguimi</w:t>
      </w:r>
      <w:r>
        <w:rPr>
          <w:rStyle w:val="Carpredefinitoparagrafo"/>
          <w:rFonts w:ascii="Times New Roman" w:eastAsia="Times New Roman" w:hAnsi="Times New Roman" w:cs="Times New Roman"/>
          <w:color w:val="000000"/>
        </w:rPr>
        <w:t>; C. C. Chen, Cina</w:t>
      </w:r>
      <w:r>
        <w:rPr>
          <w:rStyle w:val="Carpredefinitoparagrafo"/>
          <w:rFonts w:ascii="Times New Roman" w:eastAsia="Times New Roman" w:hAnsi="Times New Roman" w:cs="Times New Roman"/>
          <w:color w:val="000000"/>
        </w:rPr>
        <w:br/>
        <w:t xml:space="preserve">1934 – </w:t>
      </w:r>
      <w:r>
        <w:rPr>
          <w:rStyle w:val="Carpredefinitoparagrafo"/>
          <w:rFonts w:ascii="Times New Roman" w:eastAsia="Times New Roman" w:hAnsi="Times New Roman" w:cs="Times New Roman"/>
          <w:i/>
          <w:iCs/>
          <w:color w:val="000000"/>
        </w:rPr>
        <w:t>Pregate per la pace di Gerusalemme</w:t>
      </w:r>
      <w:r>
        <w:rPr>
          <w:rStyle w:val="Carpredefinitoparagrafo"/>
          <w:rFonts w:ascii="Times New Roman" w:eastAsia="Times New Roman" w:hAnsi="Times New Roman" w:cs="Times New Roman"/>
          <w:color w:val="000000"/>
        </w:rPr>
        <w:t>; Mrs. J. W. L. Hofmeyer, Sudafrica</w:t>
      </w:r>
      <w:r>
        <w:rPr>
          <w:rStyle w:val="Carpredefinitoparagrafo"/>
          <w:rFonts w:ascii="Times New Roman" w:eastAsia="Times New Roman" w:hAnsi="Times New Roman" w:cs="Times New Roman"/>
          <w:color w:val="000000"/>
        </w:rPr>
        <w:br/>
        <w:t xml:space="preserve">1935 – </w:t>
      </w:r>
      <w:r>
        <w:rPr>
          <w:rStyle w:val="Carpredefinitoparagrafo"/>
          <w:rFonts w:ascii="Times New Roman" w:eastAsia="Times New Roman" w:hAnsi="Times New Roman" w:cs="Times New Roman"/>
          <w:i/>
          <w:iCs/>
          <w:color w:val="000000"/>
        </w:rPr>
        <w:t>Portate i pesi gli uni degli altri</w:t>
      </w:r>
      <w:r>
        <w:rPr>
          <w:rStyle w:val="Carpredefinitoparagrafo"/>
          <w:rFonts w:ascii="Times New Roman" w:eastAsia="Times New Roman" w:hAnsi="Times New Roman" w:cs="Times New Roman"/>
          <w:color w:val="000000"/>
        </w:rPr>
        <w:t xml:space="preserve">; Baronessa Van Boetzelaer van </w:t>
      </w:r>
      <w:proofErr w:type="spellStart"/>
      <w:r>
        <w:rPr>
          <w:rStyle w:val="Carpredefinitoparagrafo"/>
          <w:rFonts w:ascii="Times New Roman" w:eastAsia="Times New Roman" w:hAnsi="Times New Roman" w:cs="Times New Roman"/>
          <w:color w:val="000000"/>
        </w:rPr>
        <w:t>Dubbeldam</w:t>
      </w:r>
      <w:proofErr w:type="spellEnd"/>
      <w:r>
        <w:rPr>
          <w:rStyle w:val="Carpredefinitoparagrafo"/>
          <w:rFonts w:ascii="Times New Roman" w:eastAsia="Times New Roman" w:hAnsi="Times New Roman" w:cs="Times New Roman"/>
          <w:color w:val="000000"/>
        </w:rPr>
        <w:t>, Olanda</w:t>
      </w:r>
      <w:r>
        <w:rPr>
          <w:rStyle w:val="Carpredefinitoparagrafo"/>
          <w:rFonts w:ascii="Times New Roman" w:eastAsia="Times New Roman" w:hAnsi="Times New Roman" w:cs="Times New Roman"/>
          <w:color w:val="000000"/>
        </w:rPr>
        <w:br/>
        <w:t xml:space="preserve">1936 – </w:t>
      </w:r>
      <w:r>
        <w:rPr>
          <w:rStyle w:val="Carpredefinitoparagrafo"/>
          <w:rFonts w:ascii="Times New Roman" w:eastAsia="Times New Roman" w:hAnsi="Times New Roman" w:cs="Times New Roman"/>
          <w:i/>
          <w:iCs/>
          <w:color w:val="000000"/>
        </w:rPr>
        <w:t>Sulla terra pace, buona volontà agli uomini</w:t>
      </w:r>
      <w:r>
        <w:rPr>
          <w:rStyle w:val="Carpredefinitoparagrafo"/>
          <w:rFonts w:ascii="Times New Roman" w:eastAsia="Times New Roman" w:hAnsi="Times New Roman" w:cs="Times New Roman"/>
          <w:color w:val="000000"/>
        </w:rPr>
        <w:t>; Laura Jorquera, Cile</w:t>
      </w:r>
      <w:r>
        <w:rPr>
          <w:rStyle w:val="Carpredefinitoparagrafo"/>
          <w:rFonts w:ascii="Times New Roman" w:eastAsia="Times New Roman" w:hAnsi="Times New Roman" w:cs="Times New Roman"/>
          <w:color w:val="000000"/>
        </w:rPr>
        <w:br/>
        <w:t xml:space="preserve">1937 – </w:t>
      </w:r>
      <w:r>
        <w:rPr>
          <w:rStyle w:val="Carpredefinitoparagrafo"/>
          <w:rFonts w:ascii="Times New Roman" w:eastAsia="Times New Roman" w:hAnsi="Times New Roman" w:cs="Times New Roman"/>
          <w:i/>
          <w:iCs/>
          <w:color w:val="000000"/>
        </w:rPr>
        <w:t>Tu sei il Cristo, il Figlio del Dio vivente</w:t>
      </w:r>
      <w:r>
        <w:rPr>
          <w:rStyle w:val="Carpredefinitoparagrafo"/>
          <w:rFonts w:ascii="Times New Roman" w:eastAsia="Times New Roman" w:hAnsi="Times New Roman" w:cs="Times New Roman"/>
          <w:color w:val="000000"/>
        </w:rPr>
        <w:t>; Mabel Shaw, missionaria</w:t>
      </w:r>
    </w:p>
    <w:p w14:paraId="0A841B8F"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 questo periodo fu presa la decisione di prendere autrici da tutte le parti del mondo, per diventare davvero un movimento globale.</w:t>
      </w:r>
    </w:p>
    <w:p w14:paraId="0921F825"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Si decise altresì di non evitare realtà difficili, ma di affrontarle con verità e speranza.</w:t>
      </w:r>
    </w:p>
    <w:p w14:paraId="773969F2" w14:textId="77777777" w:rsidR="000F45D5" w:rsidRDefault="00000000">
      <w:pPr>
        <w:pStyle w:val="Titolo3"/>
        <w:rPr>
          <w:b/>
          <w:bCs/>
        </w:rPr>
      </w:pPr>
      <w:r>
        <w:rPr>
          <w:b/>
          <w:bCs/>
        </w:rPr>
        <w:t>L’ombra della guerra (1938-1940)</w:t>
      </w:r>
    </w:p>
    <w:p w14:paraId="70A26631"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Con l’avvicinarsi della Seconda Guerra Mondiale, i temi si concentrarono sull’unità della Chiesa e sulla pace.</w:t>
      </w:r>
    </w:p>
    <w:p w14:paraId="21375A9E" w14:textId="77777777" w:rsidR="000F45D5" w:rsidRDefault="00000000">
      <w:pPr>
        <w:shd w:val="clear" w:color="auto" w:fill="FFFFFF"/>
        <w:spacing w:after="120" w:line="240" w:lineRule="auto"/>
      </w:pPr>
      <w:r>
        <w:rPr>
          <w:rStyle w:val="Carpredefinitoparagrafo"/>
          <w:rFonts w:ascii="Times New Roman" w:eastAsia="Times New Roman" w:hAnsi="Times New Roman" w:cs="Times New Roman"/>
          <w:color w:val="000000"/>
        </w:rPr>
        <w:t xml:space="preserve">Nel 1938 si parlava già di creare un </w:t>
      </w:r>
      <w:r>
        <w:rPr>
          <w:rStyle w:val="Carpredefinitoparagrafo"/>
          <w:rFonts w:ascii="Times New Roman" w:eastAsia="Times New Roman" w:hAnsi="Times New Roman" w:cs="Times New Roman"/>
          <w:b/>
          <w:bCs/>
          <w:color w:val="000000"/>
        </w:rPr>
        <w:t>Consiglio Mondiale delle Chiese</w:t>
      </w:r>
      <w:r>
        <w:rPr>
          <w:rStyle w:val="Carpredefinitoparagrafo"/>
          <w:rFonts w:ascii="Times New Roman" w:eastAsia="Times New Roman" w:hAnsi="Times New Roman" w:cs="Times New Roman"/>
          <w:color w:val="000000"/>
        </w:rPr>
        <w:t>, e la Giornata di Preghiera contribuì alle basi teologiche di questa idea.</w:t>
      </w:r>
    </w:p>
    <w:p w14:paraId="639C19C4"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76956125" w14:textId="77777777" w:rsidR="000F45D5" w:rsidRDefault="00000000">
      <w:pPr>
        <w:pStyle w:val="Titolo3"/>
        <w:rPr>
          <w:b/>
          <w:bCs/>
        </w:rPr>
      </w:pPr>
      <w:r>
        <w:rPr>
          <w:b/>
          <w:bCs/>
        </w:rPr>
        <w:t>Pregare durante la Seconda Guerra Mondiale (1941-1945)</w:t>
      </w:r>
    </w:p>
    <w:p w14:paraId="5BBCCCB0" w14:textId="77777777" w:rsidR="000F45D5" w:rsidRDefault="00000000">
      <w:pPr>
        <w:spacing w:before="240" w:after="240" w:line="240" w:lineRule="auto"/>
      </w:pPr>
      <w:r>
        <w:t>Nonostante la guerra, la Giornata Mondiale di Preghiera continuò. Le liturgie affrontavano direttamente gli orrori: campi di concentramento, persecuzioni, distruzione.</w:t>
      </w:r>
    </w:p>
    <w:p w14:paraId="75056CB4" w14:textId="77777777" w:rsidR="000F45D5" w:rsidRDefault="00000000">
      <w:pPr>
        <w:spacing w:before="240" w:after="240" w:line="240" w:lineRule="auto"/>
      </w:pPr>
      <w:r>
        <w:t>In Corea, sotto il dominio giapponese, la distribuzione del servizio del 1941 portò all’arresto di missionarie e donne coreane.</w:t>
      </w:r>
    </w:p>
    <w:p w14:paraId="6C281D64" w14:textId="77777777" w:rsidR="000F45D5" w:rsidRDefault="00000000">
      <w:pPr>
        <w:spacing w:before="240" w:after="240" w:line="240" w:lineRule="auto"/>
      </w:pPr>
      <w:r>
        <w:t>Il servizio del 1944 fu composto da testimonianze di 150 persone di oltre 100 paesi, anche nemici tra loro. Si pregava per le città distrutte, per i popoli colpiti e si riconoscevano le ingiustizie storiche.</w:t>
      </w:r>
    </w:p>
    <w:p w14:paraId="59FC63A9" w14:textId="77777777" w:rsidR="000F45D5" w:rsidRDefault="00000000">
      <w:pPr>
        <w:spacing w:before="240" w:after="240" w:line="240" w:lineRule="auto"/>
        <w:rPr>
          <w:b/>
          <w:bCs/>
        </w:rPr>
      </w:pPr>
      <w:r>
        <w:rPr>
          <w:b/>
          <w:bCs/>
        </w:rPr>
        <w:t>Il movimento sopravvisse alla guerra perché le donne, ovunque, rifiutarono di abbandonarlo.</w:t>
      </w:r>
    </w:p>
    <w:p w14:paraId="42883E9C" w14:textId="77777777" w:rsidR="000F45D5" w:rsidRDefault="00000000">
      <w:pPr>
        <w:pStyle w:val="Titolo3"/>
        <w:rPr>
          <w:b/>
          <w:bCs/>
        </w:rPr>
      </w:pPr>
      <w:r>
        <w:rPr>
          <w:b/>
          <w:bCs/>
        </w:rPr>
        <w:t>Ricostruzione e crescita (1946-1960)</w:t>
      </w:r>
    </w:p>
    <w:p w14:paraId="7FD6B5F1" w14:textId="77777777" w:rsidR="000F45D5" w:rsidRDefault="00000000">
      <w:pPr>
        <w:spacing w:before="240" w:after="240" w:line="240" w:lineRule="auto"/>
      </w:pPr>
      <w:r>
        <w:t>Dopo la guerra, le donne affrontarono la ricostruzione delle relazioni e la guarigione delle divisioni. Il movimento si espanse e rafforzò il suo impegno internazionale.</w:t>
      </w:r>
    </w:p>
    <w:p w14:paraId="6B0EE57F" w14:textId="77777777" w:rsidR="000F45D5" w:rsidRDefault="00000000">
      <w:pPr>
        <w:spacing w:before="240" w:after="240" w:line="240" w:lineRule="auto"/>
      </w:pPr>
      <w:r>
        <w:t>Nel 1948 nacque il Consiglio Ecumenico delle Chiese, affermando che la guerra è contraria alla volontà di Dio—un principio che le donne della Giornata di Preghiera avevano già incarnato da tempo.</w:t>
      </w:r>
    </w:p>
    <w:p w14:paraId="35871839" w14:textId="77777777" w:rsidR="000F45D5" w:rsidRDefault="00000000">
      <w:pPr>
        <w:spacing w:before="240" w:after="240" w:line="240" w:lineRule="auto"/>
        <w:rPr>
          <w:b/>
          <w:bCs/>
        </w:rPr>
      </w:pPr>
      <w:r>
        <w:rPr>
          <w:b/>
          <w:bCs/>
        </w:rPr>
        <w:t xml:space="preserve">I temi affrontavano questioni sociali urgenti: migranti, lavoratori agricoli, popolazioni </w:t>
      </w:r>
      <w:r>
        <w:rPr>
          <w:b/>
          <w:bCs/>
        </w:rPr>
        <w:lastRenderedPageBreak/>
        <w:t>indigene e gruppi emarginati.</w:t>
      </w:r>
    </w:p>
    <w:p w14:paraId="1AB90984" w14:textId="77777777" w:rsidR="000F45D5" w:rsidRDefault="00000000">
      <w:pPr>
        <w:pStyle w:val="Titolo3"/>
        <w:rPr>
          <w:b/>
          <w:bCs/>
        </w:rPr>
      </w:pPr>
      <w:r>
        <w:rPr>
          <w:b/>
          <w:bCs/>
        </w:rPr>
        <w:t xml:space="preserve"> Nuove tappe e </w:t>
      </w:r>
      <w:proofErr w:type="gramStart"/>
      <w:r>
        <w:rPr>
          <w:b/>
          <w:bCs/>
        </w:rPr>
        <w:t>nuova  organizzazione</w:t>
      </w:r>
      <w:proofErr w:type="gramEnd"/>
      <w:r>
        <w:rPr>
          <w:b/>
          <w:bCs/>
        </w:rPr>
        <w:t xml:space="preserve"> (1961-1967)</w:t>
      </w:r>
    </w:p>
    <w:p w14:paraId="47AED961" w14:textId="77777777" w:rsidR="000F45D5" w:rsidRDefault="00000000">
      <w:pPr>
        <w:spacing w:before="240" w:after="240" w:line="240" w:lineRule="auto"/>
      </w:pPr>
      <w:r>
        <w:t>Negli anni ’60 il movimento visse importanti cambiamenti. Nel 1961 fu celebrato quello che allora si considerava il 75º anniversario.</w:t>
      </w:r>
    </w:p>
    <w:p w14:paraId="19D64292" w14:textId="77777777" w:rsidR="000F45D5" w:rsidRDefault="00000000">
      <w:pPr>
        <w:spacing w:before="240" w:after="240" w:line="240" w:lineRule="auto"/>
      </w:pPr>
      <w:r>
        <w:t>Cresceva il desiderio di una struttura veramente internazionale. Nel 1967 due incontri decisivi—uno a Taizé (Francia) e uno in Indiana (USA)—posero le basi per:</w:t>
      </w:r>
    </w:p>
    <w:p w14:paraId="4BC496D5" w14:textId="77777777" w:rsidR="000F45D5" w:rsidRDefault="00000000">
      <w:pPr>
        <w:numPr>
          <w:ilvl w:val="0"/>
          <w:numId w:val="23"/>
        </w:numPr>
        <w:spacing w:before="240" w:after="0" w:line="240" w:lineRule="auto"/>
        <w:ind w:left="720" w:hanging="360"/>
      </w:pPr>
      <w:r>
        <w:t>comitati nazionali in ogni paese</w:t>
      </w:r>
    </w:p>
    <w:p w14:paraId="4FDB4145" w14:textId="77777777" w:rsidR="000F45D5" w:rsidRDefault="00000000">
      <w:pPr>
        <w:numPr>
          <w:ilvl w:val="0"/>
          <w:numId w:val="7"/>
        </w:numPr>
        <w:spacing w:after="0" w:line="240" w:lineRule="auto"/>
        <w:ind w:left="720" w:hanging="360"/>
      </w:pPr>
      <w:r>
        <w:t>un Comitato Internazionale</w:t>
      </w:r>
    </w:p>
    <w:p w14:paraId="2963D061" w14:textId="77777777" w:rsidR="000F45D5" w:rsidRDefault="00000000">
      <w:pPr>
        <w:numPr>
          <w:ilvl w:val="0"/>
          <w:numId w:val="7"/>
        </w:numPr>
        <w:spacing w:after="240" w:line="240" w:lineRule="auto"/>
        <w:ind w:left="720" w:hanging="360"/>
      </w:pPr>
      <w:r>
        <w:t>la scelta del primo venerdì di marzo come data comune</w:t>
      </w:r>
    </w:p>
    <w:p w14:paraId="753DEAAF" w14:textId="77777777" w:rsidR="000F45D5" w:rsidRDefault="00000000">
      <w:pPr>
        <w:spacing w:before="240" w:after="240" w:line="240" w:lineRule="auto"/>
        <w:rPr>
          <w:b/>
          <w:bCs/>
        </w:rPr>
      </w:pPr>
      <w:r>
        <w:rPr>
          <w:b/>
          <w:bCs/>
        </w:rPr>
        <w:t>Questi incontri prepararono il terreno per la fondazione ufficiale dell’anno successivo.</w:t>
      </w:r>
    </w:p>
    <w:p w14:paraId="6361266C" w14:textId="77777777" w:rsidR="000F45D5" w:rsidRDefault="000F45D5">
      <w:pPr>
        <w:shd w:val="clear" w:color="auto" w:fill="FFFFFF"/>
        <w:spacing w:after="283" w:line="240" w:lineRule="auto"/>
        <w:rPr>
          <w:rFonts w:ascii="Times New Roman" w:eastAsia="Times New Roman" w:hAnsi="Times New Roman" w:cs="Times New Roman"/>
          <w:color w:val="000000"/>
          <w:sz w:val="12"/>
          <w:szCs w:val="12"/>
        </w:rPr>
      </w:pPr>
    </w:p>
    <w:p w14:paraId="210BD7FA" w14:textId="77777777" w:rsidR="000F45D5" w:rsidRDefault="00000000">
      <w:pPr>
        <w:pStyle w:val="Titolo3"/>
        <w:rPr>
          <w:b/>
          <w:bCs/>
        </w:rPr>
      </w:pPr>
      <w:r>
        <w:rPr>
          <w:b/>
          <w:bCs/>
        </w:rPr>
        <w:t>Comitato esecutivo provvisorio (1967-1968)</w:t>
      </w:r>
    </w:p>
    <w:p w14:paraId="5E694405"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Presidente: </w:t>
      </w:r>
      <w:proofErr w:type="spellStart"/>
      <w:r>
        <w:rPr>
          <w:rFonts w:ascii="Times New Roman" w:eastAsia="Times New Roman" w:hAnsi="Times New Roman" w:cs="Times New Roman"/>
          <w:color w:val="000000"/>
        </w:rPr>
        <w:t>Rathie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Selvaratnam</w:t>
      </w:r>
      <w:proofErr w:type="spellEnd"/>
      <w:r>
        <w:rPr>
          <w:rFonts w:ascii="Times New Roman" w:eastAsia="Times New Roman" w:hAnsi="Times New Roman" w:cs="Times New Roman"/>
          <w:color w:val="000000"/>
        </w:rPr>
        <w:t xml:space="preserve"> (Sri Lanka)</w:t>
      </w:r>
    </w:p>
    <w:p w14:paraId="0763687C"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Membri:</w:t>
      </w:r>
    </w:p>
    <w:p w14:paraId="0BAC0968" w14:textId="77777777" w:rsidR="000F45D5" w:rsidRDefault="00000000">
      <w:pPr>
        <w:numPr>
          <w:ilvl w:val="0"/>
          <w:numId w:val="24"/>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 xml:space="preserve">Touran </w:t>
      </w:r>
      <w:proofErr w:type="spellStart"/>
      <w:r>
        <w:rPr>
          <w:rFonts w:ascii="Times New Roman" w:eastAsia="Times New Roman" w:hAnsi="Times New Roman" w:cs="Times New Roman"/>
          <w:color w:val="000000"/>
        </w:rPr>
        <w:t>Ehteshami</w:t>
      </w:r>
      <w:proofErr w:type="spellEnd"/>
      <w:r>
        <w:rPr>
          <w:rFonts w:ascii="Times New Roman" w:eastAsia="Times New Roman" w:hAnsi="Times New Roman" w:cs="Times New Roman"/>
          <w:color w:val="000000"/>
        </w:rPr>
        <w:t xml:space="preserve"> (Iran)</w:t>
      </w:r>
    </w:p>
    <w:p w14:paraId="61F1A2A3" w14:textId="77777777" w:rsidR="000F45D5" w:rsidRDefault="00000000">
      <w:pPr>
        <w:numPr>
          <w:ilvl w:val="0"/>
          <w:numId w:val="9"/>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Jean Jolobe (Sudafrica)</w:t>
      </w:r>
    </w:p>
    <w:p w14:paraId="0DF9287A" w14:textId="77777777" w:rsidR="000F45D5" w:rsidRDefault="00000000">
      <w:pPr>
        <w:numPr>
          <w:ilvl w:val="0"/>
          <w:numId w:val="9"/>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Ana Cordova de Rodriguez (Porto Rico)</w:t>
      </w:r>
    </w:p>
    <w:p w14:paraId="2A927AF5" w14:textId="77777777" w:rsidR="000F45D5" w:rsidRDefault="00000000">
      <w:pPr>
        <w:numPr>
          <w:ilvl w:val="0"/>
          <w:numId w:val="9"/>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Edna Sinclair (USA)</w:t>
      </w:r>
    </w:p>
    <w:p w14:paraId="5083CA0A" w14:textId="77777777" w:rsidR="000F45D5" w:rsidRDefault="00000000">
      <w:pPr>
        <w:numPr>
          <w:ilvl w:val="0"/>
          <w:numId w:val="9"/>
        </w:numPr>
        <w:shd w:val="clear" w:color="auto" w:fill="FFFFFF"/>
        <w:spacing w:after="12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Violet Williams (Inghilterra)</w:t>
      </w:r>
    </w:p>
    <w:p w14:paraId="6AEAD4F2" w14:textId="77777777" w:rsidR="000F45D5" w:rsidRDefault="00000000">
      <w:pPr>
        <w:shd w:val="clear" w:color="auto" w:fill="FFFFFF"/>
        <w:spacing w:after="12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Supplenti:</w:t>
      </w:r>
    </w:p>
    <w:p w14:paraId="4DF836A8" w14:textId="77777777" w:rsidR="000F45D5" w:rsidRDefault="00000000">
      <w:pPr>
        <w:numPr>
          <w:ilvl w:val="0"/>
          <w:numId w:val="25"/>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Laura Luz Bacerra (Filippine)</w:t>
      </w:r>
    </w:p>
    <w:p w14:paraId="4655B6DA" w14:textId="77777777" w:rsidR="000F45D5" w:rsidRDefault="00000000">
      <w:pPr>
        <w:numPr>
          <w:ilvl w:val="0"/>
          <w:numId w:val="10"/>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Gudrun Diestel (Germania)</w:t>
      </w:r>
    </w:p>
    <w:p w14:paraId="6154B1A5" w14:textId="77777777" w:rsidR="000F45D5" w:rsidRDefault="00000000">
      <w:pPr>
        <w:numPr>
          <w:ilvl w:val="0"/>
          <w:numId w:val="10"/>
        </w:numPr>
        <w:shd w:val="clear" w:color="auto" w:fill="FFFFFF"/>
        <w:spacing w:after="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Olga de Ramirez (Guatemala)</w:t>
      </w:r>
    </w:p>
    <w:p w14:paraId="092FE8BA" w14:textId="77777777" w:rsidR="000F45D5" w:rsidRDefault="00000000">
      <w:pPr>
        <w:numPr>
          <w:ilvl w:val="0"/>
          <w:numId w:val="10"/>
        </w:numPr>
        <w:shd w:val="clear" w:color="auto" w:fill="FFFFFF"/>
        <w:spacing w:after="120" w:line="240" w:lineRule="auto"/>
        <w:ind w:hanging="283"/>
        <w:rPr>
          <w:rFonts w:ascii="Times New Roman" w:eastAsia="Times New Roman" w:hAnsi="Times New Roman" w:cs="Times New Roman"/>
          <w:color w:val="000000"/>
        </w:rPr>
      </w:pPr>
      <w:r>
        <w:rPr>
          <w:rFonts w:ascii="Times New Roman" w:eastAsia="Times New Roman" w:hAnsi="Times New Roman" w:cs="Times New Roman"/>
          <w:color w:val="000000"/>
        </w:rPr>
        <w:t>Sylvia Talbot (Guyana)</w:t>
      </w:r>
    </w:p>
    <w:p w14:paraId="0DFFDC9F" w14:textId="77777777" w:rsidR="000F45D5" w:rsidRDefault="000F45D5">
      <w:pPr>
        <w:shd w:val="clear" w:color="auto" w:fill="FFFFFF"/>
        <w:spacing w:after="120" w:line="240" w:lineRule="auto"/>
        <w:rPr>
          <w:rFonts w:ascii="Times New Roman" w:eastAsia="Times New Roman" w:hAnsi="Times New Roman" w:cs="Times New Roman"/>
          <w:i/>
          <w:iCs/>
          <w:color w:val="0F4761"/>
        </w:rPr>
      </w:pPr>
    </w:p>
    <w:p w14:paraId="2BBF8A51" w14:textId="77777777" w:rsidR="000F45D5" w:rsidRDefault="00000000">
      <w:pPr>
        <w:pStyle w:val="Titolo3"/>
        <w:rPr>
          <w:b/>
          <w:bCs/>
        </w:rPr>
      </w:pPr>
      <w:r>
        <w:rPr>
          <w:b/>
          <w:bCs/>
        </w:rPr>
        <w:t xml:space="preserve"> La formazione del Comitato Internazionale (1968-1970)</w:t>
      </w:r>
    </w:p>
    <w:p w14:paraId="6E2A14FF" w14:textId="77777777" w:rsidR="000F45D5" w:rsidRDefault="00000000">
      <w:pPr>
        <w:spacing w:before="240" w:after="240" w:line="240" w:lineRule="auto"/>
      </w:pPr>
      <w:r>
        <w:t xml:space="preserve">Nel 1968, il Consiglio Ecumenico delle Donne di Svezia invitò 33 donne da 23 paesi a riunirsi nel castello di Hesselby. Quando fu approvata all’unanimità la creazione di un </w:t>
      </w:r>
      <w:r>
        <w:rPr>
          <w:rStyle w:val="Carpredefinitoparagrafo"/>
          <w:b/>
          <w:bCs/>
        </w:rPr>
        <w:t>Comitato Internazionale per la Giornata Mondiale di Preghiera</w:t>
      </w:r>
      <w:r>
        <w:t xml:space="preserve">, le donne esplosero spontaneamente nel canto del </w:t>
      </w:r>
      <w:r>
        <w:rPr>
          <w:rStyle w:val="Carpredefinitoparagrafo"/>
          <w:i/>
          <w:iCs/>
        </w:rPr>
        <w:t>Dossologia</w:t>
      </w:r>
      <w:r>
        <w:t>, segno di gioia per un sogno realizzato.</w:t>
      </w:r>
    </w:p>
    <w:p w14:paraId="5F747717" w14:textId="77777777" w:rsidR="000F45D5" w:rsidRDefault="00000000">
      <w:pPr>
        <w:spacing w:before="240" w:after="240" w:line="240" w:lineRule="auto"/>
      </w:pPr>
      <w:r>
        <w:t>Furono prese decisioni fondamentali:</w:t>
      </w:r>
    </w:p>
    <w:p w14:paraId="1209A252" w14:textId="77777777" w:rsidR="000F45D5" w:rsidRDefault="00000000">
      <w:pPr>
        <w:numPr>
          <w:ilvl w:val="0"/>
          <w:numId w:val="26"/>
        </w:numPr>
        <w:spacing w:before="240" w:after="0" w:line="240" w:lineRule="auto"/>
      </w:pPr>
      <w:r>
        <w:t xml:space="preserve">il </w:t>
      </w:r>
      <w:r>
        <w:rPr>
          <w:rStyle w:val="Carpredefinitoparagrafo"/>
          <w:b/>
          <w:bCs/>
        </w:rPr>
        <w:t>primo venerdì di marzo</w:t>
      </w:r>
      <w:r>
        <w:t xml:space="preserve"> divenne la data ufficiale (al posto del primo venerdì di Quaresima, per includere anche le donne ortodosse)</w:t>
      </w:r>
    </w:p>
    <w:p w14:paraId="16A4EC06" w14:textId="77777777" w:rsidR="000F45D5" w:rsidRDefault="00000000">
      <w:pPr>
        <w:numPr>
          <w:ilvl w:val="0"/>
          <w:numId w:val="12"/>
        </w:numPr>
        <w:spacing w:after="0" w:line="240" w:lineRule="auto"/>
      </w:pPr>
      <w:r>
        <w:t>si stabilì una struttura internazionale</w:t>
      </w:r>
    </w:p>
    <w:p w14:paraId="4FFF598D" w14:textId="77777777" w:rsidR="000F45D5" w:rsidRDefault="00000000">
      <w:pPr>
        <w:numPr>
          <w:ilvl w:val="0"/>
          <w:numId w:val="12"/>
        </w:numPr>
        <w:spacing w:after="240" w:line="240" w:lineRule="auto"/>
      </w:pPr>
      <w:proofErr w:type="spellStart"/>
      <w:r>
        <w:t>si</w:t>
      </w:r>
      <w:proofErr w:type="spellEnd"/>
      <w:r>
        <w:t xml:space="preserve"> rafforzò la collaborazione ecumenica globale</w:t>
      </w:r>
    </w:p>
    <w:p w14:paraId="121B58FB" w14:textId="77777777" w:rsidR="000F45D5" w:rsidRDefault="00000000">
      <w:pPr>
        <w:spacing w:before="240" w:after="240" w:line="240" w:lineRule="auto"/>
      </w:pPr>
      <w:r>
        <w:rPr>
          <w:rStyle w:val="Carpredefinitoparagrafo"/>
          <w:b/>
          <w:bCs/>
        </w:rPr>
        <w:t xml:space="preserve">I temi di questi anni sottolineavano la collaborazione tra paesi: </w:t>
      </w:r>
      <w:r>
        <w:rPr>
          <w:rStyle w:val="Carpredefinitoparagrafo"/>
          <w:b/>
          <w:bCs/>
          <w:i/>
          <w:iCs/>
        </w:rPr>
        <w:t>“Portate i pesi gli uni degli altri”</w:t>
      </w:r>
      <w:r>
        <w:rPr>
          <w:rStyle w:val="Carpredefinitoparagrafo"/>
          <w:b/>
          <w:bCs/>
        </w:rPr>
        <w:t xml:space="preserve"> (1968) e </w:t>
      </w:r>
      <w:r>
        <w:rPr>
          <w:rStyle w:val="Carpredefinitoparagrafo"/>
          <w:b/>
          <w:bCs/>
          <w:i/>
          <w:iCs/>
        </w:rPr>
        <w:t>“Coraggio</w:t>
      </w:r>
      <w:proofErr w:type="gramStart"/>
      <w:r>
        <w:rPr>
          <w:rStyle w:val="Carpredefinitoparagrafo"/>
          <w:b/>
          <w:bCs/>
          <w:i/>
          <w:iCs/>
        </w:rPr>
        <w:t>!”</w:t>
      </w:r>
      <w:r>
        <w:rPr>
          <w:rStyle w:val="Carpredefinitoparagrafo"/>
          <w:b/>
          <w:bCs/>
        </w:rPr>
        <w:t>(</w:t>
      </w:r>
      <w:proofErr w:type="gramEnd"/>
      <w:r>
        <w:rPr>
          <w:rStyle w:val="Carpredefinitoparagrafo"/>
          <w:b/>
          <w:bCs/>
        </w:rPr>
        <w:t>1970), scritto da donne di diversi continenti.</w:t>
      </w:r>
    </w:p>
    <w:p w14:paraId="3E315818" w14:textId="77777777" w:rsidR="000F45D5" w:rsidRDefault="000F45D5">
      <w:pPr>
        <w:shd w:val="clear" w:color="auto" w:fill="FFFFFF"/>
        <w:spacing w:after="120" w:line="240" w:lineRule="auto"/>
        <w:rPr>
          <w:rFonts w:ascii="Times New Roman" w:eastAsia="Times New Roman" w:hAnsi="Times New Roman" w:cs="Times New Roman"/>
          <w:color w:val="000000"/>
        </w:rPr>
      </w:pPr>
    </w:p>
    <w:p w14:paraId="060D726E" w14:textId="77777777" w:rsidR="000F45D5" w:rsidRDefault="000F45D5">
      <w:pPr>
        <w:shd w:val="clear" w:color="auto" w:fill="FFFFFF"/>
        <w:spacing w:after="120" w:line="240" w:lineRule="auto"/>
        <w:rPr>
          <w:rFonts w:ascii="Times New Roman" w:eastAsia="Times New Roman" w:hAnsi="Times New Roman" w:cs="Times New Roman"/>
          <w:color w:val="000000"/>
        </w:rPr>
      </w:pPr>
    </w:p>
    <w:p w14:paraId="4CEB940B" w14:textId="77777777" w:rsidR="000F45D5" w:rsidRDefault="00000000">
      <w:pPr>
        <w:pStyle w:val="Titolo3"/>
        <w:rPr>
          <w:b/>
          <w:bCs/>
        </w:rPr>
      </w:pPr>
      <w:r>
        <w:rPr>
          <w:b/>
          <w:bCs/>
        </w:rPr>
        <w:t>Incontri interreligiosi (1970-1974)</w:t>
      </w:r>
    </w:p>
    <w:p w14:paraId="049B38AD" w14:textId="77777777" w:rsidR="000F45D5" w:rsidRDefault="00000000">
      <w:pPr>
        <w:spacing w:before="240" w:after="240" w:line="240" w:lineRule="auto"/>
      </w:pPr>
      <w:r>
        <w:t>Nel 1970, a Bangkok, donne di 30 paesi si incontrarono confrontandosi anche con altre religioni, tra cui il buddhismo e l’islam.</w:t>
      </w:r>
    </w:p>
    <w:p w14:paraId="51D9EDAF" w14:textId="77777777" w:rsidR="000F45D5" w:rsidRDefault="00000000">
      <w:pPr>
        <w:spacing w:before="240" w:after="240" w:line="240" w:lineRule="auto"/>
      </w:pPr>
      <w:r>
        <w:t>Emersero sfide globali importanti:</w:t>
      </w:r>
    </w:p>
    <w:p w14:paraId="30802C31" w14:textId="77777777" w:rsidR="000F45D5" w:rsidRDefault="00000000">
      <w:pPr>
        <w:numPr>
          <w:ilvl w:val="0"/>
          <w:numId w:val="27"/>
        </w:numPr>
        <w:spacing w:before="240" w:after="0" w:line="240" w:lineRule="auto"/>
        <w:ind w:left="720" w:hanging="360"/>
      </w:pPr>
      <w:r>
        <w:t>dialogo tra religioni</w:t>
      </w:r>
    </w:p>
    <w:p w14:paraId="402C1091" w14:textId="77777777" w:rsidR="000F45D5" w:rsidRDefault="00000000">
      <w:pPr>
        <w:numPr>
          <w:ilvl w:val="0"/>
          <w:numId w:val="5"/>
        </w:numPr>
        <w:spacing w:after="0" w:line="240" w:lineRule="auto"/>
        <w:ind w:left="720" w:hanging="360"/>
      </w:pPr>
      <w:r>
        <w:t>disuguaglianze economiche</w:t>
      </w:r>
    </w:p>
    <w:p w14:paraId="7584706D" w14:textId="77777777" w:rsidR="000F45D5" w:rsidRDefault="00000000">
      <w:pPr>
        <w:numPr>
          <w:ilvl w:val="0"/>
          <w:numId w:val="5"/>
        </w:numPr>
        <w:spacing w:after="0" w:line="240" w:lineRule="auto"/>
        <w:ind w:left="720" w:hanging="360"/>
      </w:pPr>
      <w:r>
        <w:t>discriminazioni razziali</w:t>
      </w:r>
    </w:p>
    <w:p w14:paraId="74D9F90F" w14:textId="77777777" w:rsidR="000F45D5" w:rsidRDefault="00000000">
      <w:pPr>
        <w:numPr>
          <w:ilvl w:val="0"/>
          <w:numId w:val="5"/>
        </w:numPr>
        <w:spacing w:after="0" w:line="240" w:lineRule="auto"/>
        <w:ind w:left="720" w:hanging="360"/>
      </w:pPr>
      <w:r>
        <w:t>coinvolgimento dei giovani</w:t>
      </w:r>
    </w:p>
    <w:p w14:paraId="6934B134" w14:textId="77777777" w:rsidR="000F45D5" w:rsidRDefault="00000000">
      <w:pPr>
        <w:numPr>
          <w:ilvl w:val="0"/>
          <w:numId w:val="5"/>
        </w:numPr>
        <w:spacing w:after="240" w:line="240" w:lineRule="auto"/>
        <w:ind w:left="720" w:hanging="360"/>
      </w:pPr>
      <w:r>
        <w:t>ruolo delle donne nella chiesa</w:t>
      </w:r>
    </w:p>
    <w:p w14:paraId="257F025E" w14:textId="77777777" w:rsidR="000F45D5" w:rsidRDefault="00000000">
      <w:pPr>
        <w:spacing w:before="240" w:after="240" w:line="240" w:lineRule="auto"/>
      </w:pPr>
      <w:r>
        <w:t>Le conclusioni principali furono:</w:t>
      </w:r>
    </w:p>
    <w:p w14:paraId="148A87E6" w14:textId="77777777" w:rsidR="000F45D5" w:rsidRDefault="00000000">
      <w:pPr>
        <w:numPr>
          <w:ilvl w:val="0"/>
          <w:numId w:val="28"/>
        </w:numPr>
        <w:spacing w:before="240" w:after="0" w:line="240" w:lineRule="auto"/>
        <w:ind w:left="720" w:hanging="360"/>
      </w:pPr>
      <w:r>
        <w:t>aiutare le donne a riconoscere la propria dignità</w:t>
      </w:r>
    </w:p>
    <w:p w14:paraId="218C3B6D" w14:textId="77777777" w:rsidR="000F45D5" w:rsidRDefault="00000000">
      <w:pPr>
        <w:numPr>
          <w:ilvl w:val="0"/>
          <w:numId w:val="3"/>
        </w:numPr>
        <w:spacing w:after="0" w:line="240" w:lineRule="auto"/>
        <w:ind w:left="720" w:hanging="360"/>
      </w:pPr>
      <w:r>
        <w:t>lavorare per la riconciliazione tra cristiani</w:t>
      </w:r>
    </w:p>
    <w:p w14:paraId="1BD09945" w14:textId="77777777" w:rsidR="000F45D5" w:rsidRDefault="00000000">
      <w:pPr>
        <w:numPr>
          <w:ilvl w:val="0"/>
          <w:numId w:val="3"/>
        </w:numPr>
        <w:spacing w:after="0" w:line="240" w:lineRule="auto"/>
        <w:ind w:left="720" w:hanging="360"/>
      </w:pPr>
      <w:r>
        <w:t>opporsi all’ingiustizia</w:t>
      </w:r>
    </w:p>
    <w:p w14:paraId="2C94A949" w14:textId="77777777" w:rsidR="000F45D5" w:rsidRDefault="00000000">
      <w:pPr>
        <w:numPr>
          <w:ilvl w:val="0"/>
          <w:numId w:val="3"/>
        </w:numPr>
        <w:spacing w:after="240" w:line="240" w:lineRule="auto"/>
        <w:ind w:left="720" w:hanging="360"/>
      </w:pPr>
      <w:r>
        <w:t>impegnarsi instancabilmente per la pace</w:t>
      </w:r>
    </w:p>
    <w:p w14:paraId="5E2F185B" w14:textId="77777777" w:rsidR="000F45D5" w:rsidRDefault="00000000">
      <w:pPr>
        <w:pStyle w:val="Titolo3"/>
        <w:keepNext w:val="0"/>
        <w:keepLines w:val="0"/>
        <w:numPr>
          <w:ilvl w:val="0"/>
          <w:numId w:val="3"/>
        </w:numPr>
        <w:spacing w:before="280"/>
        <w:outlineLvl w:val="9"/>
        <w:rPr>
          <w:b/>
          <w:bCs/>
          <w:color w:val="000000"/>
          <w:sz w:val="26"/>
          <w:szCs w:val="26"/>
        </w:rPr>
      </w:pPr>
      <w:r>
        <w:rPr>
          <w:b/>
          <w:bCs/>
          <w:color w:val="000000"/>
          <w:sz w:val="26"/>
          <w:szCs w:val="26"/>
        </w:rPr>
        <w:t xml:space="preserve"> Donne, giustizia e solidarietà globale (1974–1978)</w:t>
      </w:r>
    </w:p>
    <w:p w14:paraId="4FC635CC" w14:textId="77777777" w:rsidR="000F45D5" w:rsidRDefault="00000000">
      <w:pPr>
        <w:numPr>
          <w:ilvl w:val="0"/>
          <w:numId w:val="3"/>
        </w:numPr>
        <w:spacing w:before="240" w:after="240" w:line="240" w:lineRule="auto"/>
      </w:pPr>
      <w:r>
        <w:t>Nel 1974, a Città del Messico, il movimento si inserì nel crescente movimento globale per i diritti delle donne.</w:t>
      </w:r>
    </w:p>
    <w:p w14:paraId="020AABAE" w14:textId="77777777" w:rsidR="000F45D5" w:rsidRDefault="00000000">
      <w:pPr>
        <w:numPr>
          <w:ilvl w:val="0"/>
          <w:numId w:val="3"/>
        </w:numPr>
        <w:spacing w:before="240" w:after="240" w:line="240" w:lineRule="auto"/>
      </w:pPr>
      <w:r>
        <w:t>Il servizio del 1976 (</w:t>
      </w:r>
      <w:r>
        <w:rPr>
          <w:rStyle w:val="Carpredefinitoparagrafo"/>
          <w:i/>
          <w:iCs/>
        </w:rPr>
        <w:t>“Educazione per tutta la vita”</w:t>
      </w:r>
      <w:r>
        <w:t>) mostrò scene concrete di:</w:t>
      </w:r>
    </w:p>
    <w:p w14:paraId="6E68DA25" w14:textId="77777777" w:rsidR="000F45D5" w:rsidRDefault="00000000">
      <w:pPr>
        <w:numPr>
          <w:ilvl w:val="0"/>
          <w:numId w:val="3"/>
        </w:numPr>
        <w:spacing w:before="240" w:after="0" w:line="240" w:lineRule="auto"/>
      </w:pPr>
      <w:r>
        <w:t>povertà</w:t>
      </w:r>
    </w:p>
    <w:p w14:paraId="4785B687" w14:textId="77777777" w:rsidR="000F45D5" w:rsidRDefault="00000000">
      <w:pPr>
        <w:numPr>
          <w:ilvl w:val="0"/>
          <w:numId w:val="3"/>
        </w:numPr>
        <w:spacing w:after="0" w:line="240" w:lineRule="auto"/>
      </w:pPr>
      <w:r>
        <w:t>disuguaglianze familiari</w:t>
      </w:r>
    </w:p>
    <w:p w14:paraId="6FB837F9" w14:textId="77777777" w:rsidR="000F45D5" w:rsidRDefault="00000000">
      <w:pPr>
        <w:numPr>
          <w:ilvl w:val="0"/>
          <w:numId w:val="3"/>
        </w:numPr>
        <w:spacing w:after="240" w:line="240" w:lineRule="auto"/>
      </w:pPr>
      <w:r>
        <w:t>repressione politica</w:t>
      </w:r>
    </w:p>
    <w:p w14:paraId="094850FC" w14:textId="77777777" w:rsidR="000F45D5" w:rsidRDefault="00000000">
      <w:pPr>
        <w:spacing w:before="240" w:after="240" w:line="240" w:lineRule="auto"/>
      </w:pPr>
      <w:r>
        <w:t>Il messaggio era chiaro:</w:t>
      </w:r>
      <w:r>
        <w:br/>
      </w:r>
      <w:r>
        <w:rPr>
          <w:rStyle w:val="Carpredefinitoparagrafo"/>
          <w:b/>
          <w:bCs/>
        </w:rPr>
        <w:t>la preghiera deve portare all’azione.</w:t>
      </w:r>
    </w:p>
    <w:p w14:paraId="36577B09" w14:textId="77777777" w:rsidR="000F45D5" w:rsidRDefault="00000000">
      <w:pPr>
        <w:pStyle w:val="Titolo3"/>
        <w:keepNext w:val="0"/>
        <w:keepLines w:val="0"/>
        <w:spacing w:before="280"/>
        <w:rPr>
          <w:b/>
          <w:bCs/>
          <w:color w:val="000000"/>
          <w:sz w:val="26"/>
          <w:szCs w:val="26"/>
        </w:rPr>
      </w:pPr>
      <w:bookmarkStart w:id="0" w:name="Bookmark15"/>
      <w:bookmarkEnd w:id="0"/>
      <w:r>
        <w:rPr>
          <w:b/>
          <w:bCs/>
          <w:color w:val="000000"/>
          <w:sz w:val="26"/>
          <w:szCs w:val="26"/>
        </w:rPr>
        <w:t>Preghiera consapevole, azione concreta (1978–1982)</w:t>
      </w:r>
    </w:p>
    <w:p w14:paraId="5517D78B" w14:textId="77777777" w:rsidR="000F45D5" w:rsidRDefault="00000000">
      <w:pPr>
        <w:spacing w:before="240" w:after="240" w:line="240" w:lineRule="auto"/>
      </w:pPr>
      <w:r>
        <w:t>Nel 1978, a Lusaka (Zambia), si rafforzò il principio centrale:</w:t>
      </w:r>
      <w:r>
        <w:br/>
      </w:r>
      <w:r>
        <w:rPr>
          <w:rStyle w:val="Carpredefinitoparagrafo"/>
          <w:b/>
          <w:bCs/>
        </w:rPr>
        <w:t>“Preghiera informata — azione ispirata dalla preghiera.”</w:t>
      </w:r>
    </w:p>
    <w:p w14:paraId="0EB4D015" w14:textId="77777777" w:rsidR="000F45D5" w:rsidRDefault="00000000">
      <w:pPr>
        <w:spacing w:before="240" w:after="240" w:line="240" w:lineRule="auto"/>
      </w:pPr>
      <w:r>
        <w:t>I temi affrontarono:</w:t>
      </w:r>
    </w:p>
    <w:p w14:paraId="499F6E46" w14:textId="77777777" w:rsidR="000F45D5" w:rsidRDefault="00000000">
      <w:pPr>
        <w:numPr>
          <w:ilvl w:val="0"/>
          <w:numId w:val="10"/>
        </w:numPr>
        <w:spacing w:before="240" w:after="0" w:line="240" w:lineRule="auto"/>
        <w:ind w:left="720" w:hanging="360"/>
      </w:pPr>
      <w:r>
        <w:t>libertà responsabile</w:t>
      </w:r>
    </w:p>
    <w:p w14:paraId="04565990" w14:textId="77777777" w:rsidR="000F45D5" w:rsidRDefault="00000000">
      <w:pPr>
        <w:numPr>
          <w:ilvl w:val="0"/>
          <w:numId w:val="10"/>
        </w:numPr>
        <w:spacing w:after="0" w:line="240" w:lineRule="auto"/>
        <w:ind w:left="720" w:hanging="360"/>
      </w:pPr>
      <w:r>
        <w:t>giustizia sociale</w:t>
      </w:r>
    </w:p>
    <w:p w14:paraId="7FB68C86" w14:textId="77777777" w:rsidR="000F45D5" w:rsidRDefault="00000000">
      <w:pPr>
        <w:numPr>
          <w:ilvl w:val="0"/>
          <w:numId w:val="10"/>
        </w:numPr>
        <w:spacing w:after="0" w:line="240" w:lineRule="auto"/>
        <w:ind w:left="720" w:hanging="360"/>
      </w:pPr>
      <w:r>
        <w:t>cura del creato</w:t>
      </w:r>
    </w:p>
    <w:p w14:paraId="1939FF1F" w14:textId="77777777" w:rsidR="000F45D5" w:rsidRDefault="00000000">
      <w:pPr>
        <w:numPr>
          <w:ilvl w:val="0"/>
          <w:numId w:val="10"/>
        </w:numPr>
        <w:spacing w:after="240" w:line="240" w:lineRule="auto"/>
        <w:ind w:left="720" w:hanging="360"/>
      </w:pPr>
      <w:r>
        <w:t>identità della Chiesa</w:t>
      </w:r>
    </w:p>
    <w:p w14:paraId="60FD0746" w14:textId="77777777" w:rsidR="000F45D5" w:rsidRDefault="00000000">
      <w:pPr>
        <w:spacing w:before="240" w:after="240" w:line="240" w:lineRule="auto"/>
        <w:rPr>
          <w:i/>
          <w:iCs/>
          <w:color w:val="0F4761"/>
          <w:sz w:val="28"/>
          <w:szCs w:val="28"/>
        </w:rPr>
      </w:pPr>
      <w:r>
        <w:rPr>
          <w:i/>
          <w:iCs/>
          <w:color w:val="0F4761"/>
          <w:sz w:val="28"/>
          <w:szCs w:val="28"/>
        </w:rPr>
        <w:t xml:space="preserve">Nel 1981, le donne native americane portarono una forte attenzione al rispetto </w:t>
      </w:r>
      <w:r>
        <w:rPr>
          <w:i/>
          <w:iCs/>
          <w:color w:val="0F4761"/>
          <w:sz w:val="28"/>
          <w:szCs w:val="28"/>
        </w:rPr>
        <w:lastRenderedPageBreak/>
        <w:t>della terra e delle culture indigene.</w:t>
      </w:r>
    </w:p>
    <w:p w14:paraId="660CFF6A" w14:textId="77777777" w:rsidR="000F45D5" w:rsidRDefault="00000000">
      <w:pPr>
        <w:rPr>
          <w:b/>
          <w:bCs/>
          <w:color w:val="0F4761"/>
          <w:sz w:val="28"/>
          <w:szCs w:val="28"/>
        </w:rPr>
      </w:pPr>
      <w:r>
        <w:rPr>
          <w:b/>
          <w:bCs/>
          <w:color w:val="0F4761"/>
          <w:sz w:val="28"/>
          <w:szCs w:val="28"/>
        </w:rPr>
        <w:t>Un nuovo logo (1982-1986)</w:t>
      </w:r>
    </w:p>
    <w:p w14:paraId="1BAF706F" w14:textId="77777777" w:rsidR="000F45D5" w:rsidRDefault="00000000">
      <w:pPr>
        <w:spacing w:before="240" w:after="240" w:line="240" w:lineRule="auto"/>
      </w:pPr>
      <w:r>
        <w:t>Nel 1982, in Germania, fu adottato il logo ufficiale del movimento: simbolo di unità globale nella diversità.</w:t>
      </w:r>
    </w:p>
    <w:p w14:paraId="34790D85" w14:textId="77777777" w:rsidR="000F45D5" w:rsidRDefault="00000000">
      <w:pPr>
        <w:spacing w:before="240" w:after="240" w:line="240" w:lineRule="auto"/>
      </w:pPr>
      <w:r>
        <w:t>I temi degli anni ’80 riflettevano le tensioni del mondo:</w:t>
      </w:r>
    </w:p>
    <w:p w14:paraId="23086DD3" w14:textId="77777777" w:rsidR="000F45D5" w:rsidRDefault="00000000">
      <w:pPr>
        <w:numPr>
          <w:ilvl w:val="0"/>
          <w:numId w:val="29"/>
        </w:numPr>
        <w:spacing w:before="240" w:after="0" w:line="240" w:lineRule="auto"/>
      </w:pPr>
      <w:r>
        <w:t>pace e giustizia</w:t>
      </w:r>
    </w:p>
    <w:p w14:paraId="156A0E92" w14:textId="77777777" w:rsidR="000F45D5" w:rsidRDefault="00000000">
      <w:pPr>
        <w:numPr>
          <w:ilvl w:val="0"/>
          <w:numId w:val="14"/>
        </w:numPr>
        <w:spacing w:after="0" w:line="240" w:lineRule="auto"/>
      </w:pPr>
      <w:r>
        <w:t>trasformazione personale e sociale</w:t>
      </w:r>
    </w:p>
    <w:p w14:paraId="20BDC57E" w14:textId="77777777" w:rsidR="000F45D5" w:rsidRDefault="00000000">
      <w:pPr>
        <w:numPr>
          <w:ilvl w:val="0"/>
          <w:numId w:val="14"/>
        </w:numPr>
        <w:spacing w:after="240" w:line="240" w:lineRule="auto"/>
      </w:pPr>
      <w:r>
        <w:t>minaccia nucleare</w:t>
      </w:r>
    </w:p>
    <w:p w14:paraId="2B4E2D12" w14:textId="77777777" w:rsidR="000F45D5" w:rsidRDefault="00000000">
      <w:pPr>
        <w:spacing w:before="240" w:after="240" w:line="240" w:lineRule="auto"/>
        <w:rPr>
          <w:i/>
          <w:iCs/>
          <w:color w:val="0F4761"/>
          <w:sz w:val="28"/>
          <w:szCs w:val="28"/>
        </w:rPr>
      </w:pPr>
      <w:r>
        <w:rPr>
          <w:i/>
          <w:iCs/>
          <w:color w:val="0F4761"/>
          <w:sz w:val="28"/>
          <w:szCs w:val="28"/>
        </w:rPr>
        <w:t>Il servizio del 1986 (“Scegli la vita!”) fu un forte appello in un mondo segnato dalla Guerra Fredda.</w:t>
      </w:r>
    </w:p>
    <w:p w14:paraId="7123CB27" w14:textId="77777777" w:rsidR="000F45D5" w:rsidRDefault="00000000">
      <w:pPr>
        <w:pStyle w:val="Titolo3"/>
        <w:rPr>
          <w:b/>
          <w:bCs/>
        </w:rPr>
      </w:pPr>
      <w:r>
        <w:rPr>
          <w:b/>
          <w:bCs/>
        </w:rPr>
        <w:t>Una dichiarazione di coscienza (1986–1990)</w:t>
      </w:r>
    </w:p>
    <w:p w14:paraId="0535792E" w14:textId="77777777" w:rsidR="000F45D5" w:rsidRDefault="00000000">
      <w:pPr>
        <w:spacing w:before="240" w:after="240" w:line="240" w:lineRule="auto"/>
      </w:pPr>
      <w:r>
        <w:t>Nel 1986, a New York, il movimento prese posizione contro l’</w:t>
      </w:r>
      <w:r>
        <w:rPr>
          <w:rStyle w:val="Carpredefinitoparagrafo"/>
          <w:b/>
          <w:bCs/>
        </w:rPr>
        <w:t>apartheid</w:t>
      </w:r>
      <w:r>
        <w:t xml:space="preserve"> in Sudafrica, dichiarandolo ingiusto e peccaminoso.</w:t>
      </w:r>
    </w:p>
    <w:p w14:paraId="6F767D4D" w14:textId="77777777" w:rsidR="000F45D5" w:rsidRDefault="00000000">
      <w:pPr>
        <w:spacing w:before="240" w:after="240" w:line="240" w:lineRule="auto"/>
      </w:pPr>
      <w:r>
        <w:t>Le donne furono invitate a:</w:t>
      </w:r>
    </w:p>
    <w:p w14:paraId="2FB1D787" w14:textId="77777777" w:rsidR="000F45D5" w:rsidRDefault="00000000">
      <w:pPr>
        <w:numPr>
          <w:ilvl w:val="0"/>
          <w:numId w:val="30"/>
        </w:numPr>
        <w:spacing w:before="240" w:after="0" w:line="240" w:lineRule="auto"/>
      </w:pPr>
      <w:r>
        <w:t>pregare</w:t>
      </w:r>
    </w:p>
    <w:p w14:paraId="54A626E4" w14:textId="77777777" w:rsidR="000F45D5" w:rsidRDefault="00000000">
      <w:pPr>
        <w:numPr>
          <w:ilvl w:val="0"/>
          <w:numId w:val="15"/>
        </w:numPr>
        <w:spacing w:after="0" w:line="240" w:lineRule="auto"/>
      </w:pPr>
      <w:r>
        <w:t>informarsi</w:t>
      </w:r>
    </w:p>
    <w:p w14:paraId="052ED24C" w14:textId="77777777" w:rsidR="000F45D5" w:rsidRDefault="00000000">
      <w:pPr>
        <w:numPr>
          <w:ilvl w:val="0"/>
          <w:numId w:val="15"/>
        </w:numPr>
        <w:spacing w:after="240" w:line="240" w:lineRule="auto"/>
      </w:pPr>
      <w:r>
        <w:t>agire politicamente e socialmente</w:t>
      </w:r>
    </w:p>
    <w:p w14:paraId="70465C70" w14:textId="77777777" w:rsidR="000F45D5" w:rsidRDefault="00000000">
      <w:pPr>
        <w:spacing w:before="240" w:after="240" w:line="240" w:lineRule="auto"/>
        <w:rPr>
          <w:rFonts w:ascii="Abadi" w:eastAsia="Abadi" w:hAnsi="Abadi" w:cs="Abadi"/>
        </w:rPr>
      </w:pPr>
      <w:r>
        <w:rPr>
          <w:rFonts w:ascii="Abadi" w:eastAsia="Abadi" w:hAnsi="Abadi" w:cs="Abadi"/>
        </w:rPr>
        <w:t>Il movimento divenne sempre più globale e inclusivo, con la partecipazione crescente di donne cattoliche e ortodosse.</w:t>
      </w:r>
    </w:p>
    <w:p w14:paraId="565522AE" w14:textId="77777777" w:rsidR="000F45D5" w:rsidRDefault="00000000">
      <w:pPr>
        <w:pStyle w:val="Titolo3"/>
      </w:pPr>
      <w:r>
        <w:t>Imparare a lavorare tra culture diverse (1990–1995)</w:t>
      </w:r>
    </w:p>
    <w:p w14:paraId="1B205FEE" w14:textId="77777777" w:rsidR="000F45D5" w:rsidRDefault="00000000">
      <w:pPr>
        <w:spacing w:before="240" w:after="240" w:line="240" w:lineRule="auto"/>
      </w:pPr>
      <w:r>
        <w:t>Nel 1990, in Giamaica, si affrontò il tema della diversità culturale.</w:t>
      </w:r>
    </w:p>
    <w:p w14:paraId="440CE475" w14:textId="77777777" w:rsidR="000F45D5" w:rsidRDefault="00000000">
      <w:pPr>
        <w:spacing w:before="240" w:after="240" w:line="240" w:lineRule="auto"/>
      </w:pPr>
      <w:r>
        <w:t>Furono introdotti:</w:t>
      </w:r>
    </w:p>
    <w:p w14:paraId="3DA542C8" w14:textId="77777777" w:rsidR="000F45D5" w:rsidRDefault="00000000">
      <w:pPr>
        <w:numPr>
          <w:ilvl w:val="0"/>
          <w:numId w:val="31"/>
        </w:numPr>
        <w:spacing w:before="240" w:after="0" w:line="240" w:lineRule="auto"/>
      </w:pPr>
      <w:r>
        <w:t>maggiore autonomia organizzativa</w:t>
      </w:r>
    </w:p>
    <w:p w14:paraId="07FFCA2D" w14:textId="77777777" w:rsidR="000F45D5" w:rsidRDefault="00000000">
      <w:pPr>
        <w:numPr>
          <w:ilvl w:val="0"/>
          <w:numId w:val="17"/>
        </w:numPr>
        <w:spacing w:after="0" w:line="240" w:lineRule="auto"/>
      </w:pPr>
      <w:r>
        <w:t>rafforzamento dei comitati nazionali</w:t>
      </w:r>
    </w:p>
    <w:p w14:paraId="7AFBD9D0" w14:textId="77777777" w:rsidR="000F45D5" w:rsidRDefault="00000000">
      <w:pPr>
        <w:numPr>
          <w:ilvl w:val="0"/>
          <w:numId w:val="17"/>
        </w:numPr>
        <w:spacing w:after="240" w:line="240" w:lineRule="auto"/>
      </w:pPr>
      <w:r>
        <w:t>maggiore partecipazione globale</w:t>
      </w:r>
    </w:p>
    <w:p w14:paraId="2AE00CFB" w14:textId="77777777" w:rsidR="000F45D5" w:rsidRDefault="00000000">
      <w:pPr>
        <w:spacing w:before="240" w:after="240" w:line="240" w:lineRule="auto"/>
      </w:pPr>
      <w:r>
        <w:t>I temi riflettevano i cambiamenti storici:</w:t>
      </w:r>
    </w:p>
    <w:p w14:paraId="705EBBF1" w14:textId="77777777" w:rsidR="000F45D5" w:rsidRDefault="00000000">
      <w:pPr>
        <w:numPr>
          <w:ilvl w:val="0"/>
          <w:numId w:val="32"/>
        </w:numPr>
        <w:spacing w:before="240" w:after="0" w:line="240" w:lineRule="auto"/>
      </w:pPr>
      <w:r>
        <w:t>fine della Guerra Fredda</w:t>
      </w:r>
    </w:p>
    <w:p w14:paraId="7D5D06AE" w14:textId="77777777" w:rsidR="000F45D5" w:rsidRDefault="00000000">
      <w:pPr>
        <w:numPr>
          <w:ilvl w:val="0"/>
          <w:numId w:val="16"/>
        </w:numPr>
        <w:spacing w:after="0" w:line="240" w:lineRule="auto"/>
      </w:pPr>
      <w:r>
        <w:t>caduta del Muro di Berlino</w:t>
      </w:r>
    </w:p>
    <w:p w14:paraId="74D64468" w14:textId="77777777" w:rsidR="000F45D5" w:rsidRDefault="00000000">
      <w:pPr>
        <w:numPr>
          <w:ilvl w:val="0"/>
          <w:numId w:val="16"/>
        </w:numPr>
        <w:spacing w:after="0" w:line="240" w:lineRule="auto"/>
      </w:pPr>
      <w:r>
        <w:t>fine dell’apartheid</w:t>
      </w:r>
    </w:p>
    <w:p w14:paraId="5B0B4C15" w14:textId="77777777" w:rsidR="000F45D5" w:rsidRDefault="00000000">
      <w:pPr>
        <w:numPr>
          <w:ilvl w:val="0"/>
          <w:numId w:val="16"/>
        </w:numPr>
        <w:spacing w:after="240" w:line="240" w:lineRule="auto"/>
        <w:rPr>
          <w:rFonts w:ascii="Abadi" w:eastAsia="Abadi" w:hAnsi="Abadi" w:cs="Abadi"/>
        </w:rPr>
      </w:pPr>
      <w:r>
        <w:rPr>
          <w:rFonts w:ascii="Abadi" w:eastAsia="Abadi" w:hAnsi="Abadi" w:cs="Abadi"/>
        </w:rPr>
        <w:t>crisi ambientali</w:t>
      </w:r>
    </w:p>
    <w:p w14:paraId="5B7296AC" w14:textId="77777777" w:rsidR="000F45D5" w:rsidRDefault="000F45D5">
      <w:pPr>
        <w:spacing w:after="240" w:line="240" w:lineRule="auto"/>
        <w:ind w:left="720" w:hanging="360"/>
        <w:rPr>
          <w:rFonts w:ascii="Abadi" w:eastAsia="Abadi" w:hAnsi="Abadi" w:cs="Abadi"/>
        </w:rPr>
      </w:pPr>
    </w:p>
    <w:p w14:paraId="560B248B" w14:textId="77777777" w:rsidR="000F45D5" w:rsidRDefault="000F45D5">
      <w:pPr>
        <w:spacing w:after="240" w:line="240" w:lineRule="auto"/>
        <w:ind w:left="720" w:hanging="360"/>
        <w:rPr>
          <w:rFonts w:ascii="Abadi" w:eastAsia="Abadi" w:hAnsi="Abadi" w:cs="Abadi"/>
        </w:rPr>
      </w:pPr>
    </w:p>
    <w:p w14:paraId="0485BD18" w14:textId="77777777" w:rsidR="000F45D5" w:rsidRDefault="00000000">
      <w:pPr>
        <w:pStyle w:val="Titolo3"/>
        <w:keepNext w:val="0"/>
        <w:keepLines w:val="0"/>
        <w:spacing w:before="280"/>
      </w:pPr>
      <w:r>
        <w:rPr>
          <w:rStyle w:val="Carpredefinitoparagrafo"/>
          <w:b/>
          <w:bCs/>
        </w:rPr>
        <w:lastRenderedPageBreak/>
        <w:t xml:space="preserve">La scoperta della nostra storia al femminile </w:t>
      </w:r>
      <w:r>
        <w:rPr>
          <w:rStyle w:val="Carpredefinitoparagrafo"/>
          <w:b/>
          <w:bCs/>
          <w:color w:val="000000"/>
        </w:rPr>
        <w:t>“</w:t>
      </w:r>
      <w:proofErr w:type="spellStart"/>
      <w:r>
        <w:rPr>
          <w:rStyle w:val="Carpredefinitoparagrafo"/>
          <w:b/>
          <w:bCs/>
          <w:color w:val="000000"/>
        </w:rPr>
        <w:t>Herstory</w:t>
      </w:r>
      <w:proofErr w:type="spellEnd"/>
      <w:r>
        <w:rPr>
          <w:rStyle w:val="Carpredefinitoparagrafo"/>
          <w:b/>
          <w:bCs/>
          <w:color w:val="000000"/>
        </w:rPr>
        <w:t>” (1995–1999)</w:t>
      </w:r>
    </w:p>
    <w:p w14:paraId="19B3F7F8" w14:textId="77777777" w:rsidR="000F45D5" w:rsidRDefault="00000000">
      <w:pPr>
        <w:spacing w:before="240" w:after="240" w:line="240" w:lineRule="auto"/>
      </w:pPr>
      <w:r>
        <w:t>Nel 1995, in Australia, si rifletté sull’identità del movimento:</w:t>
      </w:r>
    </w:p>
    <w:p w14:paraId="283CAC0D" w14:textId="77777777" w:rsidR="000F45D5" w:rsidRDefault="00000000">
      <w:pPr>
        <w:numPr>
          <w:ilvl w:val="0"/>
          <w:numId w:val="33"/>
        </w:numPr>
        <w:spacing w:before="240" w:after="0" w:line="240" w:lineRule="auto"/>
      </w:pPr>
      <w:r>
        <w:t>ruolo delle giovani donne</w:t>
      </w:r>
    </w:p>
    <w:p w14:paraId="3AA14916" w14:textId="77777777" w:rsidR="000F45D5" w:rsidRDefault="00000000">
      <w:pPr>
        <w:numPr>
          <w:ilvl w:val="0"/>
          <w:numId w:val="18"/>
        </w:numPr>
        <w:spacing w:after="0" w:line="240" w:lineRule="auto"/>
      </w:pPr>
      <w:r>
        <w:t>partecipazione degli uomini (come ospiti, non leader)</w:t>
      </w:r>
    </w:p>
    <w:p w14:paraId="587DAD14" w14:textId="77777777" w:rsidR="000F45D5" w:rsidRDefault="00000000">
      <w:pPr>
        <w:numPr>
          <w:ilvl w:val="0"/>
          <w:numId w:val="18"/>
        </w:numPr>
        <w:spacing w:after="240" w:line="240" w:lineRule="auto"/>
      </w:pPr>
      <w:r>
        <w:t>rafforzamento della memoria storica</w:t>
      </w:r>
    </w:p>
    <w:p w14:paraId="6865BB2B" w14:textId="77777777" w:rsidR="000F45D5" w:rsidRDefault="00000000">
      <w:pPr>
        <w:spacing w:before="240" w:after="240" w:line="240" w:lineRule="auto"/>
      </w:pPr>
      <w:r>
        <w:t>I temi affrontavano:</w:t>
      </w:r>
    </w:p>
    <w:p w14:paraId="21CA57D6" w14:textId="77777777" w:rsidR="000F45D5" w:rsidRDefault="00000000">
      <w:pPr>
        <w:numPr>
          <w:ilvl w:val="0"/>
          <w:numId w:val="9"/>
        </w:numPr>
        <w:spacing w:before="240" w:after="0" w:line="240" w:lineRule="auto"/>
        <w:ind w:left="720" w:hanging="360"/>
      </w:pPr>
      <w:r>
        <w:t>solidarietà</w:t>
      </w:r>
    </w:p>
    <w:p w14:paraId="6A985FD7" w14:textId="77777777" w:rsidR="000F45D5" w:rsidRDefault="00000000">
      <w:pPr>
        <w:numPr>
          <w:ilvl w:val="0"/>
          <w:numId w:val="9"/>
        </w:numPr>
        <w:spacing w:after="0" w:line="240" w:lineRule="auto"/>
        <w:ind w:left="720" w:hanging="360"/>
      </w:pPr>
      <w:r>
        <w:t>compassione</w:t>
      </w:r>
    </w:p>
    <w:p w14:paraId="72A1B6A9" w14:textId="77777777" w:rsidR="000F45D5" w:rsidRDefault="00000000">
      <w:pPr>
        <w:numPr>
          <w:ilvl w:val="0"/>
          <w:numId w:val="9"/>
        </w:numPr>
        <w:spacing w:after="240" w:line="240" w:lineRule="auto"/>
        <w:ind w:left="720" w:hanging="360"/>
        <w:rPr>
          <w:rFonts w:ascii="Abadi" w:eastAsia="Abadi" w:hAnsi="Abadi" w:cs="Abadi"/>
        </w:rPr>
      </w:pPr>
      <w:r>
        <w:rPr>
          <w:rFonts w:ascii="Abadi" w:eastAsia="Abadi" w:hAnsi="Abadi" w:cs="Abadi"/>
        </w:rPr>
        <w:t>responsabilità globale</w:t>
      </w:r>
    </w:p>
    <w:p w14:paraId="40E95F64" w14:textId="77777777" w:rsidR="000F45D5" w:rsidRDefault="00000000">
      <w:pPr>
        <w:pStyle w:val="Titolo3"/>
        <w:rPr>
          <w:b/>
          <w:bCs/>
        </w:rPr>
      </w:pPr>
      <w:r>
        <w:rPr>
          <w:b/>
          <w:bCs/>
        </w:rPr>
        <w:t>Riconciliazione e nuovo millennio (1999–2003)</w:t>
      </w:r>
    </w:p>
    <w:p w14:paraId="53FD4BAE" w14:textId="77777777" w:rsidR="000F45D5" w:rsidRDefault="00000000">
      <w:pPr>
        <w:spacing w:before="240" w:after="240" w:line="240" w:lineRule="auto"/>
      </w:pPr>
      <w:r>
        <w:t>Nel 1999, in Sudafrica, si riscoprì la storia autentica del movimento:</w:t>
      </w:r>
      <w:r>
        <w:br/>
      </w:r>
      <w:r>
        <w:rPr>
          <w:rStyle w:val="Carpredefinitoparagrafo"/>
          <w:b/>
          <w:bCs/>
        </w:rPr>
        <w:t>il vero inizio globale è il 1927.</w:t>
      </w:r>
    </w:p>
    <w:p w14:paraId="374D2F93" w14:textId="77777777" w:rsidR="000F45D5" w:rsidRDefault="00000000">
      <w:pPr>
        <w:spacing w:before="240" w:after="240" w:line="240" w:lineRule="auto"/>
      </w:pPr>
      <w:r>
        <w:t xml:space="preserve">Il tema centrale fu la </w:t>
      </w:r>
      <w:r>
        <w:rPr>
          <w:rStyle w:val="Carpredefinitoparagrafo"/>
          <w:b/>
          <w:bCs/>
        </w:rPr>
        <w:t>riconciliazione</w:t>
      </w:r>
      <w:r>
        <w:t>:</w:t>
      </w:r>
    </w:p>
    <w:p w14:paraId="2726DA51" w14:textId="77777777" w:rsidR="000F45D5" w:rsidRDefault="00000000">
      <w:pPr>
        <w:numPr>
          <w:ilvl w:val="0"/>
          <w:numId w:val="34"/>
        </w:numPr>
        <w:spacing w:before="240" w:after="0" w:line="240" w:lineRule="auto"/>
        <w:ind w:left="720" w:hanging="360"/>
      </w:pPr>
      <w:r>
        <w:t>dopo guerre</w:t>
      </w:r>
    </w:p>
    <w:p w14:paraId="18922CF2" w14:textId="77777777" w:rsidR="000F45D5" w:rsidRDefault="00000000">
      <w:pPr>
        <w:numPr>
          <w:ilvl w:val="0"/>
          <w:numId w:val="1"/>
        </w:numPr>
        <w:spacing w:after="0" w:line="240" w:lineRule="auto"/>
        <w:ind w:left="720" w:hanging="360"/>
      </w:pPr>
      <w:r>
        <w:t>dopo apartheid</w:t>
      </w:r>
    </w:p>
    <w:p w14:paraId="3AD2F962" w14:textId="77777777" w:rsidR="000F45D5" w:rsidRDefault="00000000">
      <w:pPr>
        <w:numPr>
          <w:ilvl w:val="0"/>
          <w:numId w:val="1"/>
        </w:numPr>
        <w:spacing w:after="240" w:line="240" w:lineRule="auto"/>
        <w:ind w:left="720" w:hanging="360"/>
      </w:pPr>
      <w:r>
        <w:t>dopo conflitti politici</w:t>
      </w:r>
    </w:p>
    <w:p w14:paraId="4AB60AA7" w14:textId="77777777" w:rsidR="000F45D5" w:rsidRDefault="00000000">
      <w:pPr>
        <w:spacing w:before="240" w:after="240" w:line="240" w:lineRule="auto"/>
      </w:pPr>
      <w:r>
        <w:t>Si affrontarono anche:</w:t>
      </w:r>
    </w:p>
    <w:p w14:paraId="44C391A4" w14:textId="77777777" w:rsidR="000F45D5" w:rsidRDefault="00000000">
      <w:pPr>
        <w:numPr>
          <w:ilvl w:val="0"/>
          <w:numId w:val="35"/>
        </w:numPr>
        <w:spacing w:before="240" w:after="0" w:line="240" w:lineRule="auto"/>
      </w:pPr>
      <w:r>
        <w:t>HIV/AIDS</w:t>
      </w:r>
    </w:p>
    <w:p w14:paraId="1DB72CC7" w14:textId="77777777" w:rsidR="000F45D5" w:rsidRDefault="00000000">
      <w:pPr>
        <w:numPr>
          <w:ilvl w:val="0"/>
          <w:numId w:val="19"/>
        </w:numPr>
        <w:spacing w:after="0" w:line="240" w:lineRule="auto"/>
      </w:pPr>
      <w:r>
        <w:t>giustizia sociale</w:t>
      </w:r>
    </w:p>
    <w:p w14:paraId="173D8CDC" w14:textId="77777777" w:rsidR="000F45D5" w:rsidRDefault="00000000">
      <w:pPr>
        <w:numPr>
          <w:ilvl w:val="0"/>
          <w:numId w:val="19"/>
        </w:numPr>
        <w:spacing w:after="240" w:line="240" w:lineRule="auto"/>
        <w:rPr>
          <w:rFonts w:ascii="Abadi" w:eastAsia="Abadi" w:hAnsi="Abadi" w:cs="Abadi"/>
        </w:rPr>
      </w:pPr>
      <w:r>
        <w:rPr>
          <w:rFonts w:ascii="Abadi" w:eastAsia="Abadi" w:hAnsi="Abadi" w:cs="Abadi"/>
        </w:rPr>
        <w:t>ascolto delle testimonianze</w:t>
      </w:r>
    </w:p>
    <w:p w14:paraId="2F51A119" w14:textId="77777777" w:rsidR="000F45D5" w:rsidRDefault="000F45D5">
      <w:pPr>
        <w:rPr>
          <w:rFonts w:ascii="Abadi" w:eastAsia="Abadi" w:hAnsi="Abadi" w:cs="Abadi"/>
        </w:rPr>
      </w:pPr>
    </w:p>
    <w:p w14:paraId="699E195E" w14:textId="77777777" w:rsidR="000F45D5" w:rsidRDefault="00000000">
      <w:pPr>
        <w:pStyle w:val="Titolo3"/>
      </w:pPr>
      <w:r>
        <w:t xml:space="preserve"> </w:t>
      </w:r>
      <w:r>
        <w:rPr>
          <w:rStyle w:val="Carpredefinitoparagrafo"/>
          <w:b/>
          <w:bCs/>
        </w:rPr>
        <w:t>Workshop nel mondo (2003–2007)</w:t>
      </w:r>
    </w:p>
    <w:p w14:paraId="71400A74" w14:textId="77777777" w:rsidR="000F45D5" w:rsidRDefault="00000000">
      <w:pPr>
        <w:spacing w:before="240" w:after="240" w:line="240" w:lineRule="auto"/>
      </w:pPr>
      <w:r>
        <w:t>Nel 2003, in Inghilterra, si rafforzò il lavoro globale attraverso:</w:t>
      </w:r>
    </w:p>
    <w:p w14:paraId="40DE0624" w14:textId="77777777" w:rsidR="000F45D5" w:rsidRDefault="00000000">
      <w:pPr>
        <w:numPr>
          <w:ilvl w:val="0"/>
          <w:numId w:val="36"/>
        </w:numPr>
        <w:spacing w:before="240" w:after="0" w:line="240" w:lineRule="auto"/>
      </w:pPr>
      <w:r>
        <w:t>formazione delle giovani donne</w:t>
      </w:r>
    </w:p>
    <w:p w14:paraId="209E729D" w14:textId="77777777" w:rsidR="000F45D5" w:rsidRDefault="00000000">
      <w:pPr>
        <w:numPr>
          <w:ilvl w:val="0"/>
          <w:numId w:val="20"/>
        </w:numPr>
        <w:spacing w:after="0" w:line="240" w:lineRule="auto"/>
      </w:pPr>
      <w:r>
        <w:t>dialogo ecumenico</w:t>
      </w:r>
    </w:p>
    <w:p w14:paraId="799FBB36" w14:textId="77777777" w:rsidR="000F45D5" w:rsidRDefault="00000000">
      <w:pPr>
        <w:numPr>
          <w:ilvl w:val="0"/>
          <w:numId w:val="20"/>
        </w:numPr>
        <w:spacing w:after="240" w:line="240" w:lineRule="auto"/>
      </w:pPr>
      <w:r>
        <w:t>lotta contro HIV/AIDS</w:t>
      </w:r>
    </w:p>
    <w:p w14:paraId="7FDE0013" w14:textId="77777777" w:rsidR="000F45D5" w:rsidRDefault="00000000">
      <w:pPr>
        <w:spacing w:before="240" w:after="240" w:line="240" w:lineRule="auto"/>
      </w:pPr>
      <w:r>
        <w:t>Il tema centrale:</w:t>
      </w:r>
      <w:r>
        <w:br/>
      </w:r>
      <w:r>
        <w:rPr>
          <w:rStyle w:val="Carpredefinitoparagrafo"/>
          <w:b/>
          <w:bCs/>
        </w:rPr>
        <w:t>costruire la pace attraverso azione concreta.</w:t>
      </w:r>
    </w:p>
    <w:p w14:paraId="02B5C3AE" w14:textId="77777777" w:rsidR="000F45D5" w:rsidRDefault="000F45D5">
      <w:pPr>
        <w:pStyle w:val="Titolo3"/>
        <w:rPr>
          <w:b/>
          <w:bCs/>
        </w:rPr>
      </w:pPr>
    </w:p>
    <w:p w14:paraId="1220978C" w14:textId="77777777" w:rsidR="000F45D5" w:rsidRDefault="00000000">
      <w:pPr>
        <w:pStyle w:val="Titolo3"/>
        <w:rPr>
          <w:b/>
          <w:bCs/>
        </w:rPr>
      </w:pPr>
      <w:r>
        <w:rPr>
          <w:b/>
          <w:bCs/>
        </w:rPr>
        <w:t>Adozione dei principi guida (2007–2012)</w:t>
      </w:r>
    </w:p>
    <w:p w14:paraId="07628538" w14:textId="77777777" w:rsidR="000F45D5" w:rsidRDefault="00000000">
      <w:pPr>
        <w:spacing w:before="240" w:after="240" w:line="240" w:lineRule="auto"/>
      </w:pPr>
      <w:r>
        <w:t xml:space="preserve">Nel 2007, in Canada, furono approvati i </w:t>
      </w:r>
      <w:r>
        <w:rPr>
          <w:rStyle w:val="Carpredefinitoparagrafo"/>
          <w:b/>
          <w:bCs/>
        </w:rPr>
        <w:t>Principi Guida</w:t>
      </w:r>
      <w:r>
        <w:t xml:space="preserve"> del movimento.</w:t>
      </w:r>
    </w:p>
    <w:p w14:paraId="699D7807" w14:textId="77777777" w:rsidR="000F45D5" w:rsidRDefault="00000000">
      <w:pPr>
        <w:spacing w:before="240" w:after="240" w:line="240" w:lineRule="auto"/>
      </w:pPr>
      <w:r>
        <w:t>Si lavorò su:</w:t>
      </w:r>
    </w:p>
    <w:p w14:paraId="591297B5" w14:textId="77777777" w:rsidR="000F45D5" w:rsidRDefault="00000000">
      <w:pPr>
        <w:numPr>
          <w:ilvl w:val="0"/>
          <w:numId w:val="37"/>
        </w:numPr>
        <w:spacing w:before="240" w:after="0" w:line="240" w:lineRule="auto"/>
        <w:ind w:left="720" w:hanging="360"/>
      </w:pPr>
      <w:r>
        <w:lastRenderedPageBreak/>
        <w:t>leadership giovanile</w:t>
      </w:r>
    </w:p>
    <w:p w14:paraId="3952DB90" w14:textId="77777777" w:rsidR="000F45D5" w:rsidRDefault="00000000">
      <w:pPr>
        <w:numPr>
          <w:ilvl w:val="0"/>
          <w:numId w:val="6"/>
        </w:numPr>
        <w:spacing w:after="0" w:line="240" w:lineRule="auto"/>
        <w:ind w:left="720" w:hanging="360"/>
      </w:pPr>
      <w:r>
        <w:t>empowerment delle donne</w:t>
      </w:r>
    </w:p>
    <w:p w14:paraId="3ABDF0DD" w14:textId="77777777" w:rsidR="000F45D5" w:rsidRDefault="00000000">
      <w:pPr>
        <w:numPr>
          <w:ilvl w:val="0"/>
          <w:numId w:val="6"/>
        </w:numPr>
        <w:spacing w:after="240" w:line="240" w:lineRule="auto"/>
        <w:ind w:left="720" w:hanging="360"/>
      </w:pPr>
      <w:r>
        <w:t>giustizia globale</w:t>
      </w:r>
    </w:p>
    <w:p w14:paraId="23CE280D" w14:textId="77777777" w:rsidR="000F45D5" w:rsidRDefault="00000000">
      <w:pPr>
        <w:pStyle w:val="Titolo3"/>
        <w:keepNext w:val="0"/>
        <w:keepLines w:val="0"/>
        <w:spacing w:before="280"/>
        <w:rPr>
          <w:b/>
          <w:bCs/>
          <w:color w:val="000000"/>
        </w:rPr>
      </w:pPr>
      <w:r>
        <w:rPr>
          <w:b/>
          <w:bCs/>
          <w:color w:val="000000"/>
        </w:rPr>
        <w:t>Accogliere lo straniero, cercare giustizia (2012–2017)</w:t>
      </w:r>
    </w:p>
    <w:p w14:paraId="36E3456D" w14:textId="77777777" w:rsidR="000F45D5" w:rsidRDefault="00000000">
      <w:pPr>
        <w:spacing w:before="240" w:after="240" w:line="240" w:lineRule="auto"/>
      </w:pPr>
      <w:r>
        <w:t xml:space="preserve">Nel 2012, a New York, il tema centrale fu la </w:t>
      </w:r>
      <w:r>
        <w:rPr>
          <w:rStyle w:val="Carpredefinitoparagrafo"/>
          <w:b/>
          <w:bCs/>
        </w:rPr>
        <w:t>migrazione</w:t>
      </w:r>
      <w:r>
        <w:t>.</w:t>
      </w:r>
    </w:p>
    <w:p w14:paraId="47EB441C" w14:textId="77777777" w:rsidR="000F45D5" w:rsidRDefault="00000000">
      <w:pPr>
        <w:spacing w:before="240" w:after="240" w:line="240" w:lineRule="auto"/>
      </w:pPr>
      <w:r>
        <w:t>Le donne incontrarono:</w:t>
      </w:r>
    </w:p>
    <w:p w14:paraId="27A0B406" w14:textId="77777777" w:rsidR="000F45D5" w:rsidRDefault="00000000">
      <w:pPr>
        <w:numPr>
          <w:ilvl w:val="0"/>
          <w:numId w:val="38"/>
        </w:numPr>
        <w:spacing w:before="240" w:after="0" w:line="240" w:lineRule="auto"/>
        <w:ind w:left="720" w:hanging="360"/>
      </w:pPr>
      <w:r>
        <w:t>rifugiati</w:t>
      </w:r>
    </w:p>
    <w:p w14:paraId="5B271974" w14:textId="77777777" w:rsidR="000F45D5" w:rsidRDefault="00000000">
      <w:pPr>
        <w:numPr>
          <w:ilvl w:val="0"/>
          <w:numId w:val="4"/>
        </w:numPr>
        <w:spacing w:after="0" w:line="240" w:lineRule="auto"/>
        <w:ind w:left="720" w:hanging="360"/>
      </w:pPr>
      <w:r>
        <w:t>migranti</w:t>
      </w:r>
    </w:p>
    <w:p w14:paraId="060857BA" w14:textId="77777777" w:rsidR="000F45D5" w:rsidRDefault="00000000">
      <w:pPr>
        <w:numPr>
          <w:ilvl w:val="0"/>
          <w:numId w:val="4"/>
        </w:numPr>
        <w:spacing w:after="240" w:line="240" w:lineRule="auto"/>
        <w:ind w:left="720" w:hanging="360"/>
      </w:pPr>
      <w:r>
        <w:t>organizzazioni sociali</w:t>
      </w:r>
    </w:p>
    <w:p w14:paraId="091A3338" w14:textId="77777777" w:rsidR="000F45D5" w:rsidRDefault="00000000">
      <w:pPr>
        <w:spacing w:before="240" w:after="240" w:line="240" w:lineRule="auto"/>
      </w:pPr>
      <w:r>
        <w:t>Messaggio chiave:</w:t>
      </w:r>
      <w:r>
        <w:br/>
      </w:r>
      <w:r>
        <w:rPr>
          <w:rStyle w:val="Carpredefinitoparagrafo"/>
          <w:b/>
          <w:bCs/>
        </w:rPr>
        <w:t>accogliere lo straniero è parte della fede.</w:t>
      </w:r>
    </w:p>
    <w:p w14:paraId="4D2BAB1B" w14:textId="77777777" w:rsidR="000F45D5" w:rsidRDefault="000F45D5">
      <w:pPr>
        <w:pStyle w:val="Titolo3"/>
        <w:keepNext w:val="0"/>
        <w:keepLines w:val="0"/>
        <w:spacing w:before="280"/>
        <w:rPr>
          <w:b/>
          <w:bCs/>
          <w:color w:val="000000"/>
          <w:sz w:val="26"/>
          <w:szCs w:val="26"/>
        </w:rPr>
      </w:pPr>
    </w:p>
    <w:p w14:paraId="1F501AC1" w14:textId="77777777" w:rsidR="000F45D5" w:rsidRDefault="00000000">
      <w:pPr>
        <w:pStyle w:val="Titolo3"/>
        <w:rPr>
          <w:b/>
          <w:bCs/>
        </w:rPr>
      </w:pPr>
      <w:r>
        <w:rPr>
          <w:b/>
          <w:bCs/>
        </w:rPr>
        <w:t>Cura del creato e pandemia (2017–2022)</w:t>
      </w:r>
    </w:p>
    <w:p w14:paraId="5F1F1FD3" w14:textId="77777777" w:rsidR="000F45D5" w:rsidRDefault="00000000">
      <w:pPr>
        <w:spacing w:before="240" w:after="240" w:line="240" w:lineRule="auto"/>
      </w:pPr>
      <w:r>
        <w:t xml:space="preserve">Nel 2017, in Brasile, si affrontò la </w:t>
      </w:r>
      <w:r>
        <w:rPr>
          <w:rStyle w:val="Carpredefinitoparagrafo"/>
          <w:b/>
          <w:bCs/>
        </w:rPr>
        <w:t>giustizia ambientale</w:t>
      </w:r>
      <w:r>
        <w:t>.</w:t>
      </w:r>
    </w:p>
    <w:p w14:paraId="4814C6F5" w14:textId="77777777" w:rsidR="000F45D5" w:rsidRDefault="00000000">
      <w:pPr>
        <w:spacing w:before="240" w:after="240" w:line="240" w:lineRule="auto"/>
      </w:pPr>
      <w:r>
        <w:t>Poi arrivò la pandemia COVID-19:</w:t>
      </w:r>
    </w:p>
    <w:p w14:paraId="60216EA8" w14:textId="77777777" w:rsidR="000F45D5" w:rsidRDefault="00000000">
      <w:pPr>
        <w:numPr>
          <w:ilvl w:val="0"/>
          <w:numId w:val="39"/>
        </w:numPr>
        <w:spacing w:before="240" w:after="0" w:line="240" w:lineRule="auto"/>
        <w:ind w:left="720" w:hanging="360"/>
      </w:pPr>
      <w:r>
        <w:t>incontri online</w:t>
      </w:r>
    </w:p>
    <w:p w14:paraId="7D9F1212" w14:textId="77777777" w:rsidR="000F45D5" w:rsidRDefault="00000000">
      <w:pPr>
        <w:numPr>
          <w:ilvl w:val="0"/>
          <w:numId w:val="8"/>
        </w:numPr>
        <w:spacing w:after="0" w:line="240" w:lineRule="auto"/>
        <w:ind w:left="720" w:hanging="360"/>
      </w:pPr>
      <w:r>
        <w:t>nuove forme di preghiera</w:t>
      </w:r>
    </w:p>
    <w:p w14:paraId="5A854415" w14:textId="77777777" w:rsidR="000F45D5" w:rsidRDefault="00000000">
      <w:pPr>
        <w:numPr>
          <w:ilvl w:val="0"/>
          <w:numId w:val="8"/>
        </w:numPr>
        <w:spacing w:after="240" w:line="240" w:lineRule="auto"/>
        <w:ind w:left="720" w:hanging="360"/>
      </w:pPr>
      <w:r>
        <w:t>resilienza del movimento</w:t>
      </w:r>
    </w:p>
    <w:p w14:paraId="4591CA19" w14:textId="77777777" w:rsidR="000F45D5" w:rsidRDefault="000F45D5"/>
    <w:p w14:paraId="0502ED37" w14:textId="77777777" w:rsidR="000F45D5" w:rsidRDefault="00000000">
      <w:pPr>
        <w:pStyle w:val="Titolo3"/>
        <w:rPr>
          <w:b/>
          <w:bCs/>
        </w:rPr>
      </w:pPr>
      <w:r>
        <w:rPr>
          <w:b/>
          <w:bCs/>
        </w:rPr>
        <w:t>Verso il centenario (2022–2027)</w:t>
      </w:r>
    </w:p>
    <w:p w14:paraId="5C52F912" w14:textId="77777777" w:rsidR="000F45D5" w:rsidRDefault="00000000">
      <w:pPr>
        <w:spacing w:before="240" w:after="240" w:line="240" w:lineRule="auto"/>
      </w:pPr>
      <w:r>
        <w:t>Nel 2022, l’incontro si svolse online.</w:t>
      </w:r>
    </w:p>
    <w:p w14:paraId="762A1A2D" w14:textId="77777777" w:rsidR="000F45D5" w:rsidRDefault="00000000">
      <w:pPr>
        <w:spacing w:before="240" w:after="240" w:line="240" w:lineRule="auto"/>
      </w:pPr>
      <w:r>
        <w:t>Priorità:</w:t>
      </w:r>
    </w:p>
    <w:p w14:paraId="483B2D1A" w14:textId="77777777" w:rsidR="000F45D5" w:rsidRDefault="00000000">
      <w:pPr>
        <w:numPr>
          <w:ilvl w:val="0"/>
          <w:numId w:val="40"/>
        </w:numPr>
        <w:spacing w:before="240" w:after="0" w:line="240" w:lineRule="auto"/>
      </w:pPr>
      <w:r>
        <w:t>giustizia climatica</w:t>
      </w:r>
    </w:p>
    <w:p w14:paraId="213E28EC" w14:textId="77777777" w:rsidR="000F45D5" w:rsidRDefault="00000000">
      <w:pPr>
        <w:numPr>
          <w:ilvl w:val="0"/>
          <w:numId w:val="21"/>
        </w:numPr>
        <w:spacing w:after="0" w:line="240" w:lineRule="auto"/>
      </w:pPr>
      <w:r>
        <w:t>migrazione</w:t>
      </w:r>
    </w:p>
    <w:p w14:paraId="68B49D7B" w14:textId="77777777" w:rsidR="000F45D5" w:rsidRDefault="00000000">
      <w:pPr>
        <w:numPr>
          <w:ilvl w:val="0"/>
          <w:numId w:val="21"/>
        </w:numPr>
        <w:spacing w:after="0" w:line="240" w:lineRule="auto"/>
      </w:pPr>
      <w:r>
        <w:t>lotta alla violenza sulle donne</w:t>
      </w:r>
    </w:p>
    <w:p w14:paraId="740A56EA" w14:textId="77777777" w:rsidR="000F45D5" w:rsidRDefault="00000000">
      <w:pPr>
        <w:numPr>
          <w:ilvl w:val="0"/>
          <w:numId w:val="21"/>
        </w:numPr>
        <w:spacing w:after="240" w:line="240" w:lineRule="auto"/>
      </w:pPr>
      <w:r>
        <w:t>rafforzamento digitale</w:t>
      </w:r>
    </w:p>
    <w:p w14:paraId="4BB54A0A" w14:textId="77777777" w:rsidR="000F45D5" w:rsidRDefault="00000000">
      <w:pPr>
        <w:spacing w:before="240" w:after="240" w:line="240" w:lineRule="auto"/>
      </w:pPr>
      <w:r>
        <w:t xml:space="preserve">Fu avviata la preparazione del </w:t>
      </w:r>
      <w:r>
        <w:rPr>
          <w:rStyle w:val="Carpredefinitoparagrafo"/>
          <w:b/>
          <w:bCs/>
        </w:rPr>
        <w:t>centenario 2027</w:t>
      </w:r>
      <w:r>
        <w:t>.</w:t>
      </w:r>
    </w:p>
    <w:p w14:paraId="04E6455E" w14:textId="77777777" w:rsidR="000F45D5" w:rsidRDefault="000F45D5"/>
    <w:p w14:paraId="10FFD190" w14:textId="77777777" w:rsidR="000F45D5" w:rsidRDefault="000F45D5">
      <w:pPr>
        <w:pStyle w:val="Titolo3"/>
        <w:keepNext w:val="0"/>
        <w:keepLines w:val="0"/>
        <w:spacing w:before="280"/>
        <w:rPr>
          <w:b/>
          <w:bCs/>
        </w:rPr>
      </w:pPr>
    </w:p>
    <w:p w14:paraId="41172D72" w14:textId="77777777" w:rsidR="000F45D5" w:rsidRDefault="000F45D5">
      <w:pPr>
        <w:pStyle w:val="Textbody"/>
      </w:pPr>
    </w:p>
    <w:p w14:paraId="313747BB" w14:textId="77777777" w:rsidR="000F45D5" w:rsidRDefault="000F45D5">
      <w:pPr>
        <w:pStyle w:val="Textbody"/>
      </w:pPr>
    </w:p>
    <w:p w14:paraId="30C79831" w14:textId="77777777" w:rsidR="000F45D5" w:rsidRDefault="00000000">
      <w:pPr>
        <w:pStyle w:val="Titolo3"/>
        <w:rPr>
          <w:b/>
          <w:bCs/>
        </w:rPr>
      </w:pPr>
      <w:r>
        <w:rPr>
          <w:b/>
          <w:bCs/>
        </w:rPr>
        <w:lastRenderedPageBreak/>
        <w:t xml:space="preserve"> L’anno del centenario (2027)</w:t>
      </w:r>
    </w:p>
    <w:p w14:paraId="74265FAC" w14:textId="77777777" w:rsidR="000F45D5" w:rsidRDefault="00000000">
      <w:pPr>
        <w:spacing w:before="240" w:after="240" w:line="240" w:lineRule="auto"/>
      </w:pPr>
      <w:r>
        <w:t>Tema:</w:t>
      </w:r>
      <w:r>
        <w:br/>
      </w:r>
      <w:r>
        <w:rPr>
          <w:rStyle w:val="Carpredefinitoparagrafo"/>
          <w:b/>
          <w:bCs/>
        </w:rPr>
        <w:t>“Radicarsi, Riflettere, Crescere”</w:t>
      </w:r>
    </w:p>
    <w:p w14:paraId="7F313B72" w14:textId="77777777" w:rsidR="000F45D5" w:rsidRDefault="00000000">
      <w:pPr>
        <w:spacing w:before="240" w:after="240" w:line="240" w:lineRule="auto"/>
      </w:pPr>
      <w:r>
        <w:t>Inviti principali:</w:t>
      </w:r>
    </w:p>
    <w:p w14:paraId="1EC28F42" w14:textId="77777777" w:rsidR="000F45D5" w:rsidRDefault="00000000">
      <w:pPr>
        <w:numPr>
          <w:ilvl w:val="0"/>
          <w:numId w:val="41"/>
        </w:numPr>
        <w:spacing w:before="240" w:after="0" w:line="240" w:lineRule="auto"/>
        <w:ind w:left="720" w:hanging="360"/>
      </w:pPr>
      <w:r>
        <w:rPr>
          <w:rStyle w:val="Carpredefinitoparagrafo"/>
          <w:b/>
          <w:bCs/>
        </w:rPr>
        <w:t>Radicarsi</w:t>
      </w:r>
      <w:r>
        <w:t>: piantare alberi simbolici</w:t>
      </w:r>
    </w:p>
    <w:p w14:paraId="28FEA0C8" w14:textId="77777777" w:rsidR="000F45D5" w:rsidRDefault="00000000">
      <w:pPr>
        <w:numPr>
          <w:ilvl w:val="0"/>
          <w:numId w:val="11"/>
        </w:numPr>
        <w:spacing w:after="0" w:line="240" w:lineRule="auto"/>
        <w:ind w:left="720" w:hanging="360"/>
      </w:pPr>
      <w:r>
        <w:rPr>
          <w:rStyle w:val="Carpredefinitoparagrafo"/>
          <w:b/>
          <w:bCs/>
        </w:rPr>
        <w:t>Riflettere</w:t>
      </w:r>
      <w:r>
        <w:t>: raccontare la propria storia locale</w:t>
      </w:r>
    </w:p>
    <w:p w14:paraId="4B6AEF46" w14:textId="77777777" w:rsidR="000F45D5" w:rsidRDefault="00000000">
      <w:pPr>
        <w:numPr>
          <w:ilvl w:val="0"/>
          <w:numId w:val="11"/>
        </w:numPr>
        <w:spacing w:after="240" w:line="240" w:lineRule="auto"/>
        <w:ind w:left="720" w:hanging="360"/>
      </w:pPr>
      <w:r>
        <w:rPr>
          <w:rStyle w:val="Carpredefinitoparagrafo"/>
          <w:b/>
          <w:bCs/>
        </w:rPr>
        <w:t>Crescere</w:t>
      </w:r>
      <w:r>
        <w:t>: sostenere le giovani donne</w:t>
      </w:r>
    </w:p>
    <w:p w14:paraId="606A295E" w14:textId="77777777" w:rsidR="000F45D5" w:rsidRDefault="00000000">
      <w:pPr>
        <w:spacing w:before="240" w:after="240" w:line="240" w:lineRule="auto"/>
      </w:pPr>
      <w:r>
        <w:t>Progetti:</w:t>
      </w:r>
    </w:p>
    <w:p w14:paraId="63C1EC4A" w14:textId="77777777" w:rsidR="000F45D5" w:rsidRDefault="00000000">
      <w:pPr>
        <w:numPr>
          <w:ilvl w:val="0"/>
          <w:numId w:val="42"/>
        </w:numPr>
        <w:spacing w:before="240" w:after="0" w:line="240" w:lineRule="auto"/>
      </w:pPr>
      <w:r>
        <w:t>libro di canti</w:t>
      </w:r>
    </w:p>
    <w:p w14:paraId="2192B75D" w14:textId="77777777" w:rsidR="000F45D5" w:rsidRDefault="00000000">
      <w:pPr>
        <w:numPr>
          <w:ilvl w:val="0"/>
          <w:numId w:val="22"/>
        </w:numPr>
        <w:spacing w:after="0" w:line="240" w:lineRule="auto"/>
      </w:pPr>
      <w:r>
        <w:t>libro di preghiere</w:t>
      </w:r>
    </w:p>
    <w:p w14:paraId="14913484" w14:textId="77777777" w:rsidR="000F45D5" w:rsidRDefault="00000000">
      <w:pPr>
        <w:numPr>
          <w:ilvl w:val="0"/>
          <w:numId w:val="22"/>
        </w:numPr>
        <w:spacing w:after="240" w:line="240" w:lineRule="auto"/>
      </w:pPr>
      <w:r>
        <w:t>dialoghi sui principi guida</w:t>
      </w:r>
    </w:p>
    <w:p w14:paraId="21987B9B" w14:textId="77777777" w:rsidR="000F45D5" w:rsidRDefault="00000000">
      <w:pPr>
        <w:spacing w:before="240" w:after="240" w:line="240" w:lineRule="auto"/>
      </w:pPr>
      <w:r>
        <w:t>Evento centrale:</w:t>
      </w:r>
      <w:r>
        <w:br/>
      </w:r>
      <w:r>
        <w:rPr>
          <w:rStyle w:val="Carpredefinitoparagrafo"/>
          <w:b/>
          <w:bCs/>
        </w:rPr>
        <w:t>Incontro internazionale in Ghana (2027)</w:t>
      </w:r>
    </w:p>
    <w:p w14:paraId="71CAA001" w14:textId="77777777" w:rsidR="000F45D5" w:rsidRDefault="000F45D5">
      <w:pPr>
        <w:spacing w:before="240" w:after="240" w:line="240" w:lineRule="auto"/>
      </w:pPr>
    </w:p>
    <w:p w14:paraId="05693722" w14:textId="77777777" w:rsidR="000F45D5" w:rsidRDefault="00000000">
      <w:pPr>
        <w:pStyle w:val="Titolo3"/>
        <w:rPr>
          <w:b/>
          <w:bCs/>
        </w:rPr>
      </w:pPr>
      <w:bookmarkStart w:id="1" w:name="Bookmark27"/>
      <w:bookmarkEnd w:id="1"/>
      <w:r>
        <w:rPr>
          <w:b/>
          <w:bCs/>
        </w:rPr>
        <w:t>Conclusione</w:t>
      </w:r>
    </w:p>
    <w:p w14:paraId="3074D511" w14:textId="77777777" w:rsidR="000F45D5" w:rsidRDefault="00000000">
      <w:pPr>
        <w:spacing w:before="240" w:after="240" w:line="240" w:lineRule="auto"/>
      </w:pPr>
      <w:r>
        <w:t>Nel 1927 poche donne lanciarono un invito alla preghiera.</w:t>
      </w:r>
      <w:r>
        <w:br/>
        <w:t xml:space="preserve">Oggi, quel cerchio include donne in oltre </w:t>
      </w:r>
      <w:r>
        <w:rPr>
          <w:rStyle w:val="Carpredefinitoparagrafo"/>
          <w:b/>
          <w:bCs/>
        </w:rPr>
        <w:t>135 paesi</w:t>
      </w:r>
      <w:r>
        <w:t>.</w:t>
      </w:r>
    </w:p>
    <w:p w14:paraId="0D1EAC1E" w14:textId="77777777" w:rsidR="000F45D5" w:rsidRDefault="00000000">
      <w:pPr>
        <w:spacing w:before="240" w:after="240" w:line="240" w:lineRule="auto"/>
      </w:pPr>
      <w:r>
        <w:t>Il centenario non è solo memoria, ma una chiamata:</w:t>
      </w:r>
    </w:p>
    <w:p w14:paraId="6CBDC48D" w14:textId="77777777" w:rsidR="000F45D5" w:rsidRDefault="00000000">
      <w:pPr>
        <w:numPr>
          <w:ilvl w:val="0"/>
          <w:numId w:val="43"/>
        </w:numPr>
        <w:spacing w:before="240" w:after="0" w:line="240" w:lineRule="auto"/>
        <w:ind w:left="720" w:hanging="360"/>
      </w:pPr>
      <w:r>
        <w:t>ad allargare ancora il cerchio</w:t>
      </w:r>
    </w:p>
    <w:p w14:paraId="472A4444" w14:textId="77777777" w:rsidR="000F45D5" w:rsidRDefault="00000000">
      <w:pPr>
        <w:numPr>
          <w:ilvl w:val="0"/>
          <w:numId w:val="2"/>
        </w:numPr>
        <w:spacing w:after="0" w:line="240" w:lineRule="auto"/>
        <w:ind w:left="720" w:hanging="360"/>
      </w:pPr>
      <w:r>
        <w:t>a coinvolgere le nuove generazioni</w:t>
      </w:r>
    </w:p>
    <w:p w14:paraId="3B89C609" w14:textId="77777777" w:rsidR="000F45D5" w:rsidRDefault="00000000">
      <w:pPr>
        <w:numPr>
          <w:ilvl w:val="0"/>
          <w:numId w:val="2"/>
        </w:numPr>
        <w:spacing w:after="240" w:line="240" w:lineRule="auto"/>
        <w:ind w:left="720" w:hanging="360"/>
      </w:pPr>
      <w:r>
        <w:t xml:space="preserve">a continuare a unire </w:t>
      </w:r>
      <w:r>
        <w:rPr>
          <w:rStyle w:val="Carpredefinitoparagrafo"/>
          <w:b/>
          <w:bCs/>
        </w:rPr>
        <w:t>preghiera, conoscenza e azione</w:t>
      </w:r>
    </w:p>
    <w:p w14:paraId="2F7F1F3D" w14:textId="77777777" w:rsidR="000F45D5" w:rsidRDefault="000F45D5">
      <w:pPr>
        <w:spacing w:before="240" w:after="240" w:line="240" w:lineRule="auto"/>
      </w:pPr>
    </w:p>
    <w:p w14:paraId="3ADE2414" w14:textId="77777777" w:rsidR="000F45D5" w:rsidRDefault="000F45D5">
      <w:pPr>
        <w:spacing w:before="240" w:after="240" w:line="240" w:lineRule="auto"/>
      </w:pPr>
    </w:p>
    <w:p w14:paraId="771AE097" w14:textId="77777777" w:rsidR="000F45D5" w:rsidRDefault="000F45D5"/>
    <w:p w14:paraId="5D26EC14" w14:textId="77777777" w:rsidR="000F45D5" w:rsidRDefault="00000000">
      <w:r>
        <w:rPr>
          <w:rStyle w:val="Carpredefinitoparagrafo"/>
          <w:i/>
          <w:iCs/>
          <w:color w:val="0F4761"/>
          <w:sz w:val="28"/>
          <w:szCs w:val="28"/>
        </w:rPr>
        <w:t>Nel 1927, un piccolo comitato di donne lanciò un appello alla preghiera, e le donne di tutto il mondo risposero. Cento anni dopo, quel cerchio si è ampliato fino a comprendere donne in oltre 135 paesi, che pregano insieme il primo venerdì di marzo in innumerevoli lingue, tradizioni e contesti. Il centenario non è solo un momento per guardare indietro con gratitudine: è un invito ad allargare ancora una volta il cerchio, a trasmettere la luce alla generazione successiva e ad avere fiducia che i semi piantati oggi daranno frutto per altri cento anni.</w:t>
      </w:r>
    </w:p>
    <w:sectPr w:rsidR="000F45D5">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35293" w14:textId="77777777" w:rsidR="004262EC" w:rsidRDefault="004262EC">
      <w:pPr>
        <w:spacing w:after="0" w:line="240" w:lineRule="auto"/>
      </w:pPr>
      <w:r>
        <w:separator/>
      </w:r>
    </w:p>
  </w:endnote>
  <w:endnote w:type="continuationSeparator" w:id="0">
    <w:p w14:paraId="439ED5C4" w14:textId="77777777" w:rsidR="004262EC" w:rsidRDefault="00426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variable"/>
  </w:font>
  <w:font w:name="Aptos">
    <w:charset w:val="00"/>
    <w:family w:val="swiss"/>
    <w:pitch w:val="variable"/>
    <w:sig w:usb0="20000287" w:usb1="00000003" w:usb2="00000000" w:usb3="00000000" w:csb0="0000019F" w:csb1="00000000"/>
  </w:font>
  <w:font w:name="Play">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316C6" w14:textId="77777777" w:rsidR="004262EC" w:rsidRDefault="004262EC">
      <w:pPr>
        <w:spacing w:after="0" w:line="240" w:lineRule="auto"/>
      </w:pPr>
      <w:r>
        <w:rPr>
          <w:color w:val="000000"/>
        </w:rPr>
        <w:separator/>
      </w:r>
    </w:p>
  </w:footnote>
  <w:footnote w:type="continuationSeparator" w:id="0">
    <w:p w14:paraId="37A75C22" w14:textId="77777777" w:rsidR="004262EC" w:rsidRDefault="004262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C2B"/>
    <w:multiLevelType w:val="multilevel"/>
    <w:tmpl w:val="9474D25A"/>
    <w:styleLink w:val="WWNum19"/>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 w15:restartNumberingAfterBreak="0">
    <w:nsid w:val="034343BF"/>
    <w:multiLevelType w:val="multilevel"/>
    <w:tmpl w:val="7436BD32"/>
    <w:styleLink w:val="WWNum23"/>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 w15:restartNumberingAfterBreak="0">
    <w:nsid w:val="07FC0C45"/>
    <w:multiLevelType w:val="multilevel"/>
    <w:tmpl w:val="EAF45B14"/>
    <w:styleLink w:val="WWNum9"/>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3" w15:restartNumberingAfterBreak="0">
    <w:nsid w:val="08085DB4"/>
    <w:multiLevelType w:val="multilevel"/>
    <w:tmpl w:val="25768CA8"/>
    <w:styleLink w:val="WWNum20"/>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4" w15:restartNumberingAfterBreak="0">
    <w:nsid w:val="0AFE5971"/>
    <w:multiLevelType w:val="multilevel"/>
    <w:tmpl w:val="F474CA8A"/>
    <w:styleLink w:val="WWNum10"/>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5" w15:restartNumberingAfterBreak="0">
    <w:nsid w:val="0C914AF5"/>
    <w:multiLevelType w:val="multilevel"/>
    <w:tmpl w:val="CAB62668"/>
    <w:styleLink w:val="WWNum8"/>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6" w15:restartNumberingAfterBreak="0">
    <w:nsid w:val="19D831DB"/>
    <w:multiLevelType w:val="multilevel"/>
    <w:tmpl w:val="DAB6126A"/>
    <w:styleLink w:val="WWNum16"/>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7" w15:restartNumberingAfterBreak="0">
    <w:nsid w:val="1E4337DF"/>
    <w:multiLevelType w:val="multilevel"/>
    <w:tmpl w:val="26FCF250"/>
    <w:styleLink w:val="WWNum7"/>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8" w15:restartNumberingAfterBreak="0">
    <w:nsid w:val="2A083073"/>
    <w:multiLevelType w:val="multilevel"/>
    <w:tmpl w:val="E0C21514"/>
    <w:styleLink w:val="WWNum17"/>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9" w15:restartNumberingAfterBreak="0">
    <w:nsid w:val="2BCC6B78"/>
    <w:multiLevelType w:val="multilevel"/>
    <w:tmpl w:val="398CF920"/>
    <w:styleLink w:val="WWNum13"/>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0" w15:restartNumberingAfterBreak="0">
    <w:nsid w:val="3B600FFA"/>
    <w:multiLevelType w:val="multilevel"/>
    <w:tmpl w:val="3502E32A"/>
    <w:styleLink w:val="WWNum22"/>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1" w15:restartNumberingAfterBreak="0">
    <w:nsid w:val="466543EB"/>
    <w:multiLevelType w:val="multilevel"/>
    <w:tmpl w:val="C422D916"/>
    <w:styleLink w:val="WWNum1"/>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12" w15:restartNumberingAfterBreak="0">
    <w:nsid w:val="4E9150FA"/>
    <w:multiLevelType w:val="multilevel"/>
    <w:tmpl w:val="916EAD9A"/>
    <w:styleLink w:val="WWNum18"/>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3" w15:restartNumberingAfterBreak="0">
    <w:nsid w:val="4ED505CA"/>
    <w:multiLevelType w:val="multilevel"/>
    <w:tmpl w:val="84D8B94A"/>
    <w:styleLink w:val="WWNum3"/>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14" w15:restartNumberingAfterBreak="0">
    <w:nsid w:val="5BEA5CE1"/>
    <w:multiLevelType w:val="multilevel"/>
    <w:tmpl w:val="F4FE4160"/>
    <w:styleLink w:val="WWNum4"/>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15" w15:restartNumberingAfterBreak="0">
    <w:nsid w:val="612A4BBE"/>
    <w:multiLevelType w:val="multilevel"/>
    <w:tmpl w:val="D7768460"/>
    <w:styleLink w:val="WWNum6"/>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16" w15:restartNumberingAfterBreak="0">
    <w:nsid w:val="65C3268F"/>
    <w:multiLevelType w:val="multilevel"/>
    <w:tmpl w:val="E16C8A16"/>
    <w:styleLink w:val="WWNum2"/>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17" w15:restartNumberingAfterBreak="0">
    <w:nsid w:val="66953FE8"/>
    <w:multiLevelType w:val="multilevel"/>
    <w:tmpl w:val="C7AEE330"/>
    <w:styleLink w:val="WWNum15"/>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8" w15:restartNumberingAfterBreak="0">
    <w:nsid w:val="6B271418"/>
    <w:multiLevelType w:val="multilevel"/>
    <w:tmpl w:val="3488AB88"/>
    <w:styleLink w:val="WWNum14"/>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19" w15:restartNumberingAfterBreak="0">
    <w:nsid w:val="71495ADA"/>
    <w:multiLevelType w:val="multilevel"/>
    <w:tmpl w:val="2A28A6C2"/>
    <w:styleLink w:val="WWNum12"/>
    <w:lvl w:ilvl="0">
      <w:numFmt w:val="bullet"/>
      <w:lvlText w:val="●"/>
      <w:lvlJc w:val="left"/>
      <w:pPr>
        <w:ind w:left="720" w:hanging="360"/>
      </w:pPr>
      <w:rPr>
        <w:rFonts w:ascii="Times New Roman" w:eastAsia="Noto Sans Symbols" w:hAnsi="Times New Roman" w:cs="Noto Sans Symbols"/>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abstractNum w:abstractNumId="20" w15:restartNumberingAfterBreak="0">
    <w:nsid w:val="731C4A4F"/>
    <w:multiLevelType w:val="multilevel"/>
    <w:tmpl w:val="18EED650"/>
    <w:styleLink w:val="WWNum5"/>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abstractNum w:abstractNumId="21" w15:restartNumberingAfterBreak="0">
    <w:nsid w:val="7AF02177"/>
    <w:multiLevelType w:val="multilevel"/>
    <w:tmpl w:val="035C38A4"/>
    <w:styleLink w:val="WWNum11"/>
    <w:lvl w:ilvl="0">
      <w:numFmt w:val="bullet"/>
      <w:lvlText w:val="•"/>
      <w:lvlJc w:val="left"/>
      <w:pPr>
        <w:ind w:left="707" w:hanging="282"/>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num w:numId="1" w16cid:durableId="1297419173">
    <w:abstractNumId w:val="11"/>
  </w:num>
  <w:num w:numId="2" w16cid:durableId="1796558938">
    <w:abstractNumId w:val="16"/>
  </w:num>
  <w:num w:numId="3" w16cid:durableId="1678072129">
    <w:abstractNumId w:val="13"/>
  </w:num>
  <w:num w:numId="4" w16cid:durableId="978730030">
    <w:abstractNumId w:val="14"/>
  </w:num>
  <w:num w:numId="5" w16cid:durableId="839321285">
    <w:abstractNumId w:val="20"/>
  </w:num>
  <w:num w:numId="6" w16cid:durableId="1682505811">
    <w:abstractNumId w:val="15"/>
  </w:num>
  <w:num w:numId="7" w16cid:durableId="989291473">
    <w:abstractNumId w:val="7"/>
  </w:num>
  <w:num w:numId="8" w16cid:durableId="1662193217">
    <w:abstractNumId w:val="5"/>
  </w:num>
  <w:num w:numId="9" w16cid:durableId="1099333613">
    <w:abstractNumId w:val="2"/>
  </w:num>
  <w:num w:numId="10" w16cid:durableId="1377662456">
    <w:abstractNumId w:val="4"/>
  </w:num>
  <w:num w:numId="11" w16cid:durableId="1053313440">
    <w:abstractNumId w:val="21"/>
  </w:num>
  <w:num w:numId="12" w16cid:durableId="1210142938">
    <w:abstractNumId w:val="12"/>
  </w:num>
  <w:num w:numId="13" w16cid:durableId="1481655196">
    <w:abstractNumId w:val="3"/>
  </w:num>
  <w:num w:numId="14" w16cid:durableId="360319767">
    <w:abstractNumId w:val="18"/>
  </w:num>
  <w:num w:numId="15" w16cid:durableId="1749493274">
    <w:abstractNumId w:val="6"/>
  </w:num>
  <w:num w:numId="16" w16cid:durableId="845903587">
    <w:abstractNumId w:val="17"/>
  </w:num>
  <w:num w:numId="17" w16cid:durableId="220216071">
    <w:abstractNumId w:val="8"/>
  </w:num>
  <w:num w:numId="18" w16cid:durableId="962881993">
    <w:abstractNumId w:val="10"/>
  </w:num>
  <w:num w:numId="19" w16cid:durableId="1774982328">
    <w:abstractNumId w:val="1"/>
  </w:num>
  <w:num w:numId="20" w16cid:durableId="614097295">
    <w:abstractNumId w:val="0"/>
  </w:num>
  <w:num w:numId="21" w16cid:durableId="54470235">
    <w:abstractNumId w:val="19"/>
  </w:num>
  <w:num w:numId="22" w16cid:durableId="2129546487">
    <w:abstractNumId w:val="9"/>
  </w:num>
  <w:num w:numId="23" w16cid:durableId="1302543895">
    <w:abstractNumId w:val="7"/>
    <w:lvlOverride w:ilvl="0"/>
  </w:num>
  <w:num w:numId="24" w16cid:durableId="1968659619">
    <w:abstractNumId w:val="2"/>
    <w:lvlOverride w:ilvl="0"/>
  </w:num>
  <w:num w:numId="25" w16cid:durableId="1986159524">
    <w:abstractNumId w:val="4"/>
    <w:lvlOverride w:ilvl="0"/>
  </w:num>
  <w:num w:numId="26" w16cid:durableId="1341391516">
    <w:abstractNumId w:val="12"/>
    <w:lvlOverride w:ilvl="0"/>
  </w:num>
  <w:num w:numId="27" w16cid:durableId="1057438798">
    <w:abstractNumId w:val="20"/>
    <w:lvlOverride w:ilvl="0"/>
  </w:num>
  <w:num w:numId="28" w16cid:durableId="1451974661">
    <w:abstractNumId w:val="13"/>
    <w:lvlOverride w:ilvl="0"/>
  </w:num>
  <w:num w:numId="29" w16cid:durableId="1951010518">
    <w:abstractNumId w:val="18"/>
    <w:lvlOverride w:ilvl="0"/>
  </w:num>
  <w:num w:numId="30" w16cid:durableId="2115899292">
    <w:abstractNumId w:val="6"/>
    <w:lvlOverride w:ilvl="0"/>
  </w:num>
  <w:num w:numId="31" w16cid:durableId="145559333">
    <w:abstractNumId w:val="8"/>
    <w:lvlOverride w:ilvl="0"/>
  </w:num>
  <w:num w:numId="32" w16cid:durableId="1944610402">
    <w:abstractNumId w:val="17"/>
    <w:lvlOverride w:ilvl="0"/>
  </w:num>
  <w:num w:numId="33" w16cid:durableId="1116678608">
    <w:abstractNumId w:val="10"/>
    <w:lvlOverride w:ilvl="0"/>
  </w:num>
  <w:num w:numId="34" w16cid:durableId="494347030">
    <w:abstractNumId w:val="11"/>
    <w:lvlOverride w:ilvl="0"/>
  </w:num>
  <w:num w:numId="35" w16cid:durableId="1264722449">
    <w:abstractNumId w:val="1"/>
    <w:lvlOverride w:ilvl="0"/>
  </w:num>
  <w:num w:numId="36" w16cid:durableId="1718551866">
    <w:abstractNumId w:val="0"/>
    <w:lvlOverride w:ilvl="0"/>
  </w:num>
  <w:num w:numId="37" w16cid:durableId="790325396">
    <w:abstractNumId w:val="15"/>
    <w:lvlOverride w:ilvl="0"/>
  </w:num>
  <w:num w:numId="38" w16cid:durableId="520170421">
    <w:abstractNumId w:val="14"/>
    <w:lvlOverride w:ilvl="0"/>
  </w:num>
  <w:num w:numId="39" w16cid:durableId="1225490244">
    <w:abstractNumId w:val="5"/>
    <w:lvlOverride w:ilvl="0"/>
  </w:num>
  <w:num w:numId="40" w16cid:durableId="707291524">
    <w:abstractNumId w:val="19"/>
    <w:lvlOverride w:ilvl="0"/>
  </w:num>
  <w:num w:numId="41" w16cid:durableId="1438212483">
    <w:abstractNumId w:val="21"/>
    <w:lvlOverride w:ilvl="0"/>
  </w:num>
  <w:num w:numId="42" w16cid:durableId="444228260">
    <w:abstractNumId w:val="9"/>
    <w:lvlOverride w:ilvl="0"/>
  </w:num>
  <w:num w:numId="43" w16cid:durableId="146628988">
    <w:abstractNumId w:val="16"/>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0F45D5"/>
    <w:rsid w:val="000D5C8E"/>
    <w:rsid w:val="000F45D5"/>
    <w:rsid w:val="004262EC"/>
    <w:rsid w:val="009932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441D5"/>
  <w15:docId w15:val="{3E6DE907-C7DC-4976-8C84-8C5789BD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kern w:val="3"/>
        <w:sz w:val="24"/>
        <w:szCs w:val="24"/>
        <w:lang w:val="it-IT" w:eastAsia="zh-CN" w:bidi="hi-IN"/>
      </w:rPr>
    </w:rPrDefault>
    <w:pPrDefault>
      <w:pPr>
        <w:widowControl w:val="0"/>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olo1">
    <w:name w:val="Titolo 1"/>
    <w:basedOn w:val="Normale"/>
    <w:next w:val="Textbody"/>
    <w:pPr>
      <w:keepNext/>
      <w:keepLines/>
      <w:spacing w:before="360" w:after="80" w:line="240" w:lineRule="auto"/>
      <w:outlineLvl w:val="0"/>
    </w:pPr>
    <w:rPr>
      <w:rFonts w:ascii="Play" w:eastAsia="Play" w:hAnsi="Play" w:cs="Play"/>
      <w:color w:val="0F4761"/>
      <w:sz w:val="40"/>
      <w:szCs w:val="40"/>
    </w:rPr>
  </w:style>
  <w:style w:type="paragraph" w:customStyle="1" w:styleId="Titolo2">
    <w:name w:val="Titolo 2"/>
    <w:basedOn w:val="Normale"/>
    <w:next w:val="Textbody"/>
    <w:pPr>
      <w:keepNext/>
      <w:keepLines/>
      <w:spacing w:before="160" w:after="80" w:line="240" w:lineRule="auto"/>
      <w:outlineLvl w:val="1"/>
    </w:pPr>
    <w:rPr>
      <w:rFonts w:ascii="Play" w:eastAsia="Play" w:hAnsi="Play" w:cs="Play"/>
      <w:color w:val="0F4761"/>
      <w:sz w:val="32"/>
      <w:szCs w:val="32"/>
    </w:rPr>
  </w:style>
  <w:style w:type="paragraph" w:customStyle="1" w:styleId="Titolo3">
    <w:name w:val="Titolo 3"/>
    <w:basedOn w:val="Normale"/>
    <w:next w:val="Textbody"/>
    <w:pPr>
      <w:keepNext/>
      <w:keepLines/>
      <w:spacing w:before="160" w:after="80" w:line="240" w:lineRule="auto"/>
      <w:outlineLvl w:val="2"/>
    </w:pPr>
    <w:rPr>
      <w:color w:val="0F4761"/>
      <w:sz w:val="28"/>
      <w:szCs w:val="28"/>
    </w:rPr>
  </w:style>
  <w:style w:type="paragraph" w:customStyle="1" w:styleId="Titolo4">
    <w:name w:val="Titolo 4"/>
    <w:basedOn w:val="Normale"/>
    <w:next w:val="Textbody"/>
    <w:pPr>
      <w:keepNext/>
      <w:keepLines/>
      <w:spacing w:before="80" w:after="40" w:line="240" w:lineRule="auto"/>
      <w:outlineLvl w:val="3"/>
    </w:pPr>
    <w:rPr>
      <w:i/>
      <w:iCs/>
      <w:color w:val="0F4761"/>
    </w:rPr>
  </w:style>
  <w:style w:type="paragraph" w:customStyle="1" w:styleId="Titolo5">
    <w:name w:val="Titolo 5"/>
    <w:basedOn w:val="Normale"/>
    <w:next w:val="Textbody"/>
    <w:pPr>
      <w:keepNext/>
      <w:keepLines/>
      <w:spacing w:before="80" w:after="40" w:line="240" w:lineRule="auto"/>
      <w:outlineLvl w:val="4"/>
    </w:pPr>
    <w:rPr>
      <w:color w:val="0F4761"/>
    </w:rPr>
  </w:style>
  <w:style w:type="paragraph" w:customStyle="1" w:styleId="Titolo6">
    <w:name w:val="Titolo 6"/>
    <w:basedOn w:val="Normale"/>
    <w:next w:val="Textbody"/>
    <w:pPr>
      <w:keepNext/>
      <w:keepLines/>
      <w:spacing w:before="40" w:after="0" w:line="240" w:lineRule="auto"/>
      <w:outlineLvl w:val="5"/>
    </w:pPr>
    <w:rPr>
      <w:i/>
      <w:iCs/>
      <w:color w:val="595959"/>
    </w:rPr>
  </w:style>
  <w:style w:type="paragraph" w:customStyle="1" w:styleId="Titolo7">
    <w:name w:val="Titolo 7"/>
    <w:basedOn w:val="Heading"/>
    <w:next w:val="Textbody"/>
    <w:pPr>
      <w:keepLines/>
      <w:spacing w:before="40" w:after="0"/>
      <w:outlineLvl w:val="6"/>
    </w:pPr>
    <w:rPr>
      <w:color w:val="595959"/>
    </w:rPr>
  </w:style>
  <w:style w:type="paragraph" w:customStyle="1" w:styleId="Titolo8">
    <w:name w:val="Titolo 8"/>
    <w:basedOn w:val="Heading"/>
    <w:next w:val="Textbody"/>
    <w:pPr>
      <w:keepLines/>
      <w:spacing w:after="0"/>
      <w:outlineLvl w:val="7"/>
    </w:pPr>
    <w:rPr>
      <w:i/>
      <w:iCs/>
      <w:color w:val="272727"/>
    </w:rPr>
  </w:style>
  <w:style w:type="paragraph" w:customStyle="1" w:styleId="Titolo9">
    <w:name w:val="Titolo 9"/>
    <w:basedOn w:val="Heading"/>
    <w:next w:val="Textbody"/>
    <w:pPr>
      <w:keepLines/>
      <w:spacing w:after="0"/>
      <w:outlineLvl w:val="8"/>
    </w:pPr>
    <w:rPr>
      <w:color w:val="272727"/>
    </w:rPr>
  </w:style>
  <w:style w:type="paragraph" w:customStyle="1" w:styleId="Normale">
    <w:name w:val="Normale"/>
    <w:pPr>
      <w:widowControl/>
      <w:suppressAutoHyphens/>
    </w:pPr>
  </w:style>
  <w:style w:type="character" w:customStyle="1" w:styleId="Carpredefinitoparagrafo">
    <w:name w:val="Car. predefinito paragrafo"/>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line="240" w:lineRule="auto"/>
    </w:pPr>
    <w:rPr>
      <w:rFonts w:ascii="Times New Roman" w:eastAsia="SimSun" w:hAnsi="Times New Roman" w:cs="Arial"/>
    </w:rPr>
  </w:style>
  <w:style w:type="paragraph" w:customStyle="1" w:styleId="Elenco">
    <w:name w:val="Elenco"/>
    <w:basedOn w:val="Textbody"/>
  </w:style>
  <w:style w:type="paragraph" w:customStyle="1" w:styleId="Didascalia">
    <w:name w:val="Didascalia"/>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Titolo">
    <w:name w:val="Titolo"/>
    <w:basedOn w:val="Normale"/>
    <w:next w:val="Sottotitolo"/>
    <w:pPr>
      <w:spacing w:after="80" w:line="240" w:lineRule="auto"/>
    </w:pPr>
    <w:rPr>
      <w:rFonts w:ascii="Play" w:eastAsia="Play" w:hAnsi="Play" w:cs="Play"/>
      <w:b/>
      <w:bCs/>
      <w:sz w:val="56"/>
      <w:szCs w:val="56"/>
    </w:rPr>
  </w:style>
  <w:style w:type="paragraph" w:customStyle="1" w:styleId="Sottotitolo">
    <w:name w:val="Sottotitolo"/>
    <w:basedOn w:val="Normale"/>
    <w:next w:val="Textbody"/>
    <w:rPr>
      <w:i/>
      <w:iCs/>
      <w:color w:val="595959"/>
      <w:sz w:val="28"/>
      <w:szCs w:val="28"/>
    </w:rPr>
  </w:style>
  <w:style w:type="paragraph" w:customStyle="1" w:styleId="Citazione">
    <w:name w:val="Citazione"/>
    <w:pPr>
      <w:suppressAutoHyphens/>
      <w:spacing w:before="160"/>
      <w:jc w:val="center"/>
    </w:pPr>
    <w:rPr>
      <w:i/>
      <w:iCs/>
      <w:color w:val="404040"/>
    </w:rPr>
  </w:style>
  <w:style w:type="paragraph" w:customStyle="1" w:styleId="Paragrafoelenco">
    <w:name w:val="Paragrafo elenco"/>
    <w:pPr>
      <w:suppressAutoHyphens/>
      <w:ind w:left="720"/>
    </w:pPr>
  </w:style>
  <w:style w:type="paragraph" w:customStyle="1" w:styleId="Citazioneintensa">
    <w:name w:val="Citazione intensa"/>
    <w:pPr>
      <w:pBdr>
        <w:top w:val="single" w:sz="4" w:space="10" w:color="0F4761"/>
        <w:bottom w:val="single" w:sz="4" w:space="10" w:color="0F4761"/>
      </w:pBdr>
      <w:suppressAutoHyphens/>
      <w:spacing w:before="360" w:after="360"/>
      <w:ind w:left="864" w:right="864"/>
      <w:jc w:val="center"/>
    </w:pPr>
    <w:rPr>
      <w:i/>
      <w:iCs/>
      <w:color w:val="0F4761"/>
    </w:rPr>
  </w:style>
  <w:style w:type="paragraph" w:customStyle="1" w:styleId="HorizontalLine">
    <w:name w:val="Horizontal Line"/>
    <w:basedOn w:val="Standard"/>
    <w:next w:val="Textbody"/>
    <w:pPr>
      <w:suppressLineNumbers/>
      <w:spacing w:after="283" w:line="240" w:lineRule="auto"/>
    </w:pPr>
    <w:rPr>
      <w:rFonts w:ascii="Times New Roman" w:eastAsia="SimSun" w:hAnsi="Times New Roman" w:cs="Arial"/>
      <w:sz w:val="12"/>
      <w:szCs w:val="12"/>
    </w:rPr>
  </w:style>
  <w:style w:type="character" w:customStyle="1" w:styleId="Titolo1Carattere">
    <w:name w:val="Titolo 1 Carattere"/>
    <w:basedOn w:val="Carpredefinitoparagrafo"/>
    <w:rPr>
      <w:rFonts w:ascii="Aptos Display" w:hAnsi="Aptos Display"/>
      <w:color w:val="0F4761"/>
      <w:sz w:val="40"/>
      <w:szCs w:val="40"/>
    </w:rPr>
  </w:style>
  <w:style w:type="character" w:customStyle="1" w:styleId="Titolo2Carattere">
    <w:name w:val="Titolo 2 Carattere"/>
    <w:basedOn w:val="Carpredefinitoparagrafo"/>
    <w:rPr>
      <w:rFonts w:ascii="Aptos Display" w:hAnsi="Aptos Display"/>
      <w:color w:val="0F4761"/>
      <w:sz w:val="32"/>
      <w:szCs w:val="32"/>
    </w:rPr>
  </w:style>
  <w:style w:type="character" w:customStyle="1" w:styleId="Titolo3Carattere">
    <w:name w:val="Titolo 3 Carattere"/>
    <w:basedOn w:val="Carpredefinitoparagrafo"/>
    <w:rPr>
      <w:color w:val="0F4761"/>
      <w:sz w:val="28"/>
      <w:szCs w:val="28"/>
    </w:rPr>
  </w:style>
  <w:style w:type="character" w:customStyle="1" w:styleId="Titolo4Carattere">
    <w:name w:val="Titolo 4 Carattere"/>
    <w:basedOn w:val="Carpredefinitoparagrafo"/>
    <w:rPr>
      <w:i/>
      <w:iCs/>
      <w:color w:val="0F4761"/>
    </w:rPr>
  </w:style>
  <w:style w:type="character" w:customStyle="1" w:styleId="Titolo5Carattere">
    <w:name w:val="Titolo 5 Carattere"/>
    <w:basedOn w:val="Carpredefinitoparagrafo"/>
    <w:rPr>
      <w:color w:val="0F4761"/>
    </w:rPr>
  </w:style>
  <w:style w:type="character" w:customStyle="1" w:styleId="Titolo6Carattere">
    <w:name w:val="Titolo 6 Carattere"/>
    <w:basedOn w:val="Carpredefinitoparagrafo"/>
    <w:rPr>
      <w:i/>
      <w:iCs/>
      <w:color w:val="595959"/>
    </w:rPr>
  </w:style>
  <w:style w:type="character" w:customStyle="1" w:styleId="Titolo7Carattere">
    <w:name w:val="Titolo 7 Carattere"/>
    <w:basedOn w:val="Carpredefinitoparagrafo"/>
    <w:rPr>
      <w:color w:val="595959"/>
    </w:rPr>
  </w:style>
  <w:style w:type="character" w:customStyle="1" w:styleId="Titolo8Carattere">
    <w:name w:val="Titolo 8 Carattere"/>
    <w:basedOn w:val="Carpredefinitoparagrafo"/>
    <w:rPr>
      <w:i/>
      <w:iCs/>
      <w:color w:val="272727"/>
    </w:rPr>
  </w:style>
  <w:style w:type="character" w:customStyle="1" w:styleId="Titolo9Carattere">
    <w:name w:val="Titolo 9 Carattere"/>
    <w:basedOn w:val="Carpredefinitoparagrafo"/>
    <w:rPr>
      <w:color w:val="272727"/>
    </w:rPr>
  </w:style>
  <w:style w:type="character" w:customStyle="1" w:styleId="TitoloCarattere">
    <w:name w:val="Titolo Carattere"/>
    <w:basedOn w:val="Carpredefinitoparagrafo"/>
    <w:rPr>
      <w:rFonts w:ascii="Aptos Display" w:hAnsi="Aptos Display"/>
      <w:spacing w:val="-10"/>
      <w:kern w:val="3"/>
      <w:sz w:val="56"/>
      <w:szCs w:val="56"/>
    </w:rPr>
  </w:style>
  <w:style w:type="character" w:customStyle="1" w:styleId="SottotitoloCarattere">
    <w:name w:val="Sottotitolo Carattere"/>
    <w:basedOn w:val="Carpredefinitoparagrafo"/>
    <w:rPr>
      <w:color w:val="595959"/>
      <w:spacing w:val="15"/>
      <w:sz w:val="28"/>
      <w:szCs w:val="28"/>
    </w:rPr>
  </w:style>
  <w:style w:type="character" w:customStyle="1" w:styleId="CitazioneCarattere">
    <w:name w:val="Citazione Carattere"/>
    <w:basedOn w:val="Carpredefinitoparagrafo"/>
    <w:rPr>
      <w:i/>
      <w:iCs/>
      <w:color w:val="404040"/>
    </w:rPr>
  </w:style>
  <w:style w:type="character" w:customStyle="1" w:styleId="Enfasiintensa">
    <w:name w:val="Enfasi intensa"/>
    <w:basedOn w:val="Carpredefinitoparagrafo"/>
    <w:rPr>
      <w:i/>
      <w:iCs/>
      <w:color w:val="0F4761"/>
    </w:rPr>
  </w:style>
  <w:style w:type="character" w:customStyle="1" w:styleId="CitazioneintensaCarattere">
    <w:name w:val="Citazione intensa Carattere"/>
    <w:basedOn w:val="Carpredefinitoparagrafo"/>
    <w:rPr>
      <w:i/>
      <w:iCs/>
      <w:color w:val="0F4761"/>
    </w:rPr>
  </w:style>
  <w:style w:type="character" w:customStyle="1" w:styleId="Riferimentointenso">
    <w:name w:val="Riferimento intenso"/>
    <w:basedOn w:val="Carpredefinitoparagrafo"/>
    <w:rPr>
      <w:b/>
      <w:bCs/>
      <w:smallCaps/>
      <w:color w:val="0F4761"/>
      <w:spacing w:val="5"/>
    </w:rPr>
  </w:style>
  <w:style w:type="character" w:customStyle="1" w:styleId="StrongEmphasis">
    <w:name w:val="Strong Emphasis"/>
    <w:basedOn w:val="Carpredefinitoparagrafo"/>
    <w:rPr>
      <w:b/>
      <w:bCs/>
    </w:rPr>
  </w:style>
  <w:style w:type="character" w:customStyle="1" w:styleId="Enfasidelicata">
    <w:name w:val="Enfasi delicata"/>
    <w:basedOn w:val="Carpredefinitoparagrafo"/>
    <w:rPr>
      <w:i/>
      <w:iCs/>
      <w:color w:val="404040"/>
    </w:rPr>
  </w:style>
  <w:style w:type="character" w:customStyle="1" w:styleId="Enfasicorsivo">
    <w:name w:val="Enfasi (corsivo)"/>
    <w:basedOn w:val="Carpredefinitoparagrafo"/>
    <w:rPr>
      <w:i/>
      <w:iCs/>
    </w:rPr>
  </w:style>
  <w:style w:type="character" w:customStyle="1" w:styleId="ListLabel1">
    <w:name w:val="ListLabel 1"/>
    <w:rPr>
      <w:rFonts w:eastAsia="Noto Sans Symbols" w:cs="Noto Sans Symbols"/>
    </w:rPr>
  </w:style>
  <w:style w:type="character" w:customStyle="1" w:styleId="ListLabel2">
    <w:name w:val="ListLabel 2"/>
    <w:rPr>
      <w:u w:val="none"/>
    </w:rPr>
  </w:style>
  <w:style w:type="numbering" w:customStyle="1" w:styleId="WWNum1">
    <w:name w:val="WWNum1"/>
    <w:basedOn w:val="KeineListe"/>
    <w:pPr>
      <w:numPr>
        <w:numId w:val="1"/>
      </w:numPr>
    </w:pPr>
  </w:style>
  <w:style w:type="numbering" w:customStyle="1" w:styleId="WWNum2">
    <w:name w:val="WWNum2"/>
    <w:basedOn w:val="KeineListe"/>
    <w:pPr>
      <w:numPr>
        <w:numId w:val="2"/>
      </w:numPr>
    </w:pPr>
  </w:style>
  <w:style w:type="numbering" w:customStyle="1" w:styleId="WWNum3">
    <w:name w:val="WWNum3"/>
    <w:basedOn w:val="KeineListe"/>
    <w:pPr>
      <w:numPr>
        <w:numId w:val="3"/>
      </w:numPr>
    </w:pPr>
  </w:style>
  <w:style w:type="numbering" w:customStyle="1" w:styleId="WWNum4">
    <w:name w:val="WWNum4"/>
    <w:basedOn w:val="KeineListe"/>
    <w:pPr>
      <w:numPr>
        <w:numId w:val="4"/>
      </w:numPr>
    </w:pPr>
  </w:style>
  <w:style w:type="numbering" w:customStyle="1" w:styleId="WWNum5">
    <w:name w:val="WWNum5"/>
    <w:basedOn w:val="KeineListe"/>
    <w:pPr>
      <w:numPr>
        <w:numId w:val="5"/>
      </w:numPr>
    </w:pPr>
  </w:style>
  <w:style w:type="numbering" w:customStyle="1" w:styleId="WWNum6">
    <w:name w:val="WWNum6"/>
    <w:basedOn w:val="KeineListe"/>
    <w:pPr>
      <w:numPr>
        <w:numId w:val="6"/>
      </w:numPr>
    </w:pPr>
  </w:style>
  <w:style w:type="numbering" w:customStyle="1" w:styleId="WWNum7">
    <w:name w:val="WWNum7"/>
    <w:basedOn w:val="KeineListe"/>
    <w:pPr>
      <w:numPr>
        <w:numId w:val="7"/>
      </w:numPr>
    </w:pPr>
  </w:style>
  <w:style w:type="numbering" w:customStyle="1" w:styleId="WWNum8">
    <w:name w:val="WWNum8"/>
    <w:basedOn w:val="KeineListe"/>
    <w:pPr>
      <w:numPr>
        <w:numId w:val="8"/>
      </w:numPr>
    </w:pPr>
  </w:style>
  <w:style w:type="numbering" w:customStyle="1" w:styleId="WWNum9">
    <w:name w:val="WWNum9"/>
    <w:basedOn w:val="KeineListe"/>
    <w:pPr>
      <w:numPr>
        <w:numId w:val="9"/>
      </w:numPr>
    </w:pPr>
  </w:style>
  <w:style w:type="numbering" w:customStyle="1" w:styleId="WWNum10">
    <w:name w:val="WWNum10"/>
    <w:basedOn w:val="KeineListe"/>
    <w:pPr>
      <w:numPr>
        <w:numId w:val="10"/>
      </w:numPr>
    </w:pPr>
  </w:style>
  <w:style w:type="numbering" w:customStyle="1" w:styleId="WWNum11">
    <w:name w:val="WWNum11"/>
    <w:basedOn w:val="KeineListe"/>
    <w:pPr>
      <w:numPr>
        <w:numId w:val="11"/>
      </w:numPr>
    </w:pPr>
  </w:style>
  <w:style w:type="numbering" w:customStyle="1" w:styleId="WWNum18">
    <w:name w:val="WWNum18"/>
    <w:basedOn w:val="KeineListe"/>
    <w:pPr>
      <w:numPr>
        <w:numId w:val="12"/>
      </w:numPr>
    </w:pPr>
  </w:style>
  <w:style w:type="numbering" w:customStyle="1" w:styleId="WWNum20">
    <w:name w:val="WWNum20"/>
    <w:basedOn w:val="KeineListe"/>
    <w:pPr>
      <w:numPr>
        <w:numId w:val="13"/>
      </w:numPr>
    </w:pPr>
  </w:style>
  <w:style w:type="numbering" w:customStyle="1" w:styleId="WWNum14">
    <w:name w:val="WWNum14"/>
    <w:basedOn w:val="KeineListe"/>
    <w:pPr>
      <w:numPr>
        <w:numId w:val="14"/>
      </w:numPr>
    </w:pPr>
  </w:style>
  <w:style w:type="numbering" w:customStyle="1" w:styleId="WWNum16">
    <w:name w:val="WWNum16"/>
    <w:basedOn w:val="KeineListe"/>
    <w:pPr>
      <w:numPr>
        <w:numId w:val="15"/>
      </w:numPr>
    </w:pPr>
  </w:style>
  <w:style w:type="numbering" w:customStyle="1" w:styleId="WWNum15">
    <w:name w:val="WWNum15"/>
    <w:basedOn w:val="KeineListe"/>
    <w:pPr>
      <w:numPr>
        <w:numId w:val="16"/>
      </w:numPr>
    </w:pPr>
  </w:style>
  <w:style w:type="numbering" w:customStyle="1" w:styleId="WWNum17">
    <w:name w:val="WWNum17"/>
    <w:basedOn w:val="KeineListe"/>
    <w:pPr>
      <w:numPr>
        <w:numId w:val="17"/>
      </w:numPr>
    </w:pPr>
  </w:style>
  <w:style w:type="numbering" w:customStyle="1" w:styleId="WWNum22">
    <w:name w:val="WWNum22"/>
    <w:basedOn w:val="KeineListe"/>
    <w:pPr>
      <w:numPr>
        <w:numId w:val="18"/>
      </w:numPr>
    </w:pPr>
  </w:style>
  <w:style w:type="numbering" w:customStyle="1" w:styleId="WWNum23">
    <w:name w:val="WWNum23"/>
    <w:basedOn w:val="KeineListe"/>
    <w:pPr>
      <w:numPr>
        <w:numId w:val="19"/>
      </w:numPr>
    </w:pPr>
  </w:style>
  <w:style w:type="numbering" w:customStyle="1" w:styleId="WWNum19">
    <w:name w:val="WWNum19"/>
    <w:basedOn w:val="KeineListe"/>
    <w:pPr>
      <w:numPr>
        <w:numId w:val="20"/>
      </w:numPr>
    </w:pPr>
  </w:style>
  <w:style w:type="numbering" w:customStyle="1" w:styleId="WWNum12">
    <w:name w:val="WWNum12"/>
    <w:basedOn w:val="KeineListe"/>
    <w:pPr>
      <w:numPr>
        <w:numId w:val="21"/>
      </w:numPr>
    </w:pPr>
  </w:style>
  <w:style w:type="numbering" w:customStyle="1" w:styleId="WWNum13">
    <w:name w:val="WWNum13"/>
    <w:basedOn w:val="KeineListe"/>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2814</Words>
  <Characters>16040</Characters>
  <Application>Microsoft Office Word</Application>
  <DocSecurity>0</DocSecurity>
  <Lines>133</Lines>
  <Paragraphs>37</Paragraphs>
  <ScaleCrop>false</ScaleCrop>
  <Company/>
  <LinksUpToDate>false</LinksUpToDate>
  <CharactersWithSpaces>18817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Marilù Cameriero</dc:creator>
  <cp:lastModifiedBy>Christiane Bader</cp:lastModifiedBy>
  <cp:revision>2</cp:revision>
  <dcterms:created xsi:type="dcterms:W3CDTF">2026-10-27T14:12:00Z</dcterms:created>
  <dcterms:modified xsi:type="dcterms:W3CDTF">2026-10-27T14:12:00Z</dcterms:modified>
</cp:coreProperties>
</file>